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CAC29" w14:textId="77777777" w:rsidR="00C8264E" w:rsidRDefault="00F861DA" w:rsidP="00C8264E">
      <w:pPr>
        <w:pStyle w:val="Header"/>
        <w:jc w:val="center"/>
      </w:pPr>
      <w:r w:rsidRPr="00C8264E">
        <w:rPr>
          <w:b/>
          <w:bCs/>
        </w:rPr>
        <w:t>The Natural Resource Asset Accounts (NRAA) and the National Balance Sheet - Improving estimates of resource royalties in Canada</w:t>
      </w:r>
      <w:r>
        <w:t xml:space="preserve"> </w:t>
      </w:r>
    </w:p>
    <w:p w14:paraId="341B0489" w14:textId="4BB28279" w:rsidR="003D628E" w:rsidRPr="003D628E" w:rsidRDefault="000B10F0" w:rsidP="00C8264E">
      <w:pPr>
        <w:pStyle w:val="Header"/>
        <w:jc w:val="center"/>
      </w:pPr>
      <w:r>
        <w:t>Carin Loker-Fulcher</w:t>
      </w:r>
      <w:r w:rsidR="00667A43">
        <w:t xml:space="preserve"> and</w:t>
      </w:r>
      <w:r>
        <w:t xml:space="preserve"> Roxane Jaffray</w:t>
      </w:r>
      <w:r w:rsidR="00667A43">
        <w:t>,</w:t>
      </w:r>
      <w:r w:rsidR="00C8264E">
        <w:t xml:space="preserve"> Statistics Canada</w:t>
      </w:r>
      <w:r w:rsidR="003D628E" w:rsidRPr="003D628E">
        <w:br/>
      </w:r>
      <w:r w:rsidR="00F35AF2">
        <w:t>For the London Group 2026 Conference</w:t>
      </w:r>
    </w:p>
    <w:p w14:paraId="05554DD5" w14:textId="77777777" w:rsidR="003D628E" w:rsidRPr="003D628E" w:rsidRDefault="003D628E" w:rsidP="003D628E"/>
    <w:p w14:paraId="2C7900F8" w14:textId="11F543BE" w:rsidR="002A094C" w:rsidRDefault="002A094C" w:rsidP="0066693B">
      <w:pPr>
        <w:pStyle w:val="Heading2"/>
      </w:pPr>
      <w:r>
        <w:t>Abstract</w:t>
      </w:r>
    </w:p>
    <w:p w14:paraId="0A24A723" w14:textId="0594C6AC" w:rsidR="002A094C" w:rsidRDefault="00C8264E" w:rsidP="002A094C">
      <w:r w:rsidRPr="00C8264E">
        <w:t xml:space="preserve">Statistics Canada releases </w:t>
      </w:r>
      <w:r w:rsidR="00CC365C">
        <w:t xml:space="preserve">physical and monetary stock </w:t>
      </w:r>
      <w:r w:rsidRPr="00C8264E">
        <w:t xml:space="preserve">estimates for </w:t>
      </w:r>
      <w:r w:rsidR="00F202B6">
        <w:t>select</w:t>
      </w:r>
      <w:r w:rsidR="006E3A07">
        <w:t>ed</w:t>
      </w:r>
      <w:r w:rsidR="00F202B6">
        <w:t xml:space="preserve"> natural resources</w:t>
      </w:r>
      <w:r w:rsidR="00B1453A">
        <w:t xml:space="preserve"> </w:t>
      </w:r>
      <w:r w:rsidR="00667A43">
        <w:t>as part of</w:t>
      </w:r>
      <w:r w:rsidR="00B1453A">
        <w:t xml:space="preserve"> the Natural Resource Asset Accounts (NRAA)</w:t>
      </w:r>
      <w:r w:rsidRPr="00C8264E">
        <w:t>. SNA2025 guidance on ownership and depletion of natural resources recommends that net present value (NPV) of natural resource assets be split between the economic owner of the resource (i.e.</w:t>
      </w:r>
      <w:r w:rsidR="00667A43">
        <w:t>,</w:t>
      </w:r>
      <w:r w:rsidRPr="00C8264E">
        <w:t xml:space="preserve"> the extractor) and the legal owner (e.g., government). This methodology is currently used in the </w:t>
      </w:r>
      <w:r w:rsidR="00C355F4">
        <w:t xml:space="preserve">Canadian </w:t>
      </w:r>
      <w:r w:rsidRPr="00C8264E">
        <w:t>National Balance Sheet.</w:t>
      </w:r>
    </w:p>
    <w:p w14:paraId="771E70B5" w14:textId="1EE8CF02" w:rsidR="00C8264E" w:rsidRDefault="00C8264E" w:rsidP="00BD2629">
      <w:pPr>
        <w:spacing w:afterLines="40" w:after="96" w:line="240" w:lineRule="auto"/>
      </w:pPr>
      <w:r w:rsidRPr="00C8264E">
        <w:t>The method used to split the value of natural resource assets relies on resource royalty data</w:t>
      </w:r>
      <w:r w:rsidR="00CC365C">
        <w:t xml:space="preserve">. </w:t>
      </w:r>
      <w:r w:rsidR="00BD2629">
        <w:t xml:space="preserve">While the current royalty data supports the </w:t>
      </w:r>
      <w:r w:rsidR="00BD2629" w:rsidRPr="006B0382">
        <w:t>estimat</w:t>
      </w:r>
      <w:r w:rsidR="00BD2629">
        <w:t>ion of</w:t>
      </w:r>
      <w:r w:rsidR="00BD2629" w:rsidRPr="006B0382">
        <w:t xml:space="preserve"> </w:t>
      </w:r>
      <w:r w:rsidR="00BD2629">
        <w:t xml:space="preserve">certain </w:t>
      </w:r>
      <w:r w:rsidR="00BD2629" w:rsidRPr="006B0382">
        <w:t xml:space="preserve">ownership shares </w:t>
      </w:r>
      <w:r w:rsidR="00BD2629">
        <w:t xml:space="preserve">for subsoil and timber assets at an aggregate level, it does not provide the commodity-level detail required to </w:t>
      </w:r>
      <w:r w:rsidR="00BD2629" w:rsidRPr="00D728BB">
        <w:t>allocate the value of</w:t>
      </w:r>
      <w:r w:rsidR="00BD2629">
        <w:t xml:space="preserve"> </w:t>
      </w:r>
      <w:r w:rsidR="00BD2629" w:rsidRPr="00D728BB">
        <w:t xml:space="preserve">individual natural resources </w:t>
      </w:r>
      <w:r w:rsidR="00BD2629">
        <w:t>to</w:t>
      </w:r>
      <w:r w:rsidR="00BD2629" w:rsidRPr="00D728BB">
        <w:t xml:space="preserve"> their respective</w:t>
      </w:r>
      <w:r w:rsidR="00BD2629">
        <w:t xml:space="preserve"> economic owner sectors</w:t>
      </w:r>
      <w:r w:rsidR="00840639">
        <w:t xml:space="preserve"> (i.e.</w:t>
      </w:r>
      <w:r w:rsidR="00667A43">
        <w:t>,</w:t>
      </w:r>
      <w:r w:rsidR="00840639">
        <w:t xml:space="preserve"> federal governments, provincial and territorial governments, private non-financial corporations, Indigenous general government)</w:t>
      </w:r>
      <w:r w:rsidR="00BD2629">
        <w:t xml:space="preserve">. </w:t>
      </w:r>
      <w:r w:rsidRPr="00097FC1">
        <w:t xml:space="preserve">This paper proposes </w:t>
      </w:r>
      <w:r w:rsidR="00CC365C" w:rsidRPr="00097FC1">
        <w:t>different</w:t>
      </w:r>
      <w:r w:rsidRPr="00097FC1">
        <w:t xml:space="preserve"> method</w:t>
      </w:r>
      <w:r w:rsidR="00CC365C" w:rsidRPr="00097FC1">
        <w:t>s</w:t>
      </w:r>
      <w:r w:rsidR="0077231E" w:rsidRPr="00097FC1">
        <w:t xml:space="preserve"> </w:t>
      </w:r>
      <w:r w:rsidR="000927D8" w:rsidRPr="00097FC1">
        <w:t xml:space="preserve">to derive commodity-level royalty values </w:t>
      </w:r>
      <w:r w:rsidR="00667A43" w:rsidRPr="00097FC1">
        <w:t>to</w:t>
      </w:r>
      <w:r w:rsidRPr="00097FC1">
        <w:t xml:space="preserve"> improve sectoring </w:t>
      </w:r>
      <w:r w:rsidR="00097FC1" w:rsidRPr="00097FC1">
        <w:t>estimates and</w:t>
      </w:r>
      <w:r w:rsidR="00097FC1">
        <w:t xml:space="preserve"> a</w:t>
      </w:r>
      <w:r w:rsidRPr="00097FC1">
        <w:t>ims to generate a discussion</w:t>
      </w:r>
      <w:r w:rsidR="003A0C74">
        <w:t xml:space="preserve"> on the key challenges identified. </w:t>
      </w:r>
    </w:p>
    <w:p w14:paraId="6FE516C1" w14:textId="6A3D01B6" w:rsidR="002A094C" w:rsidRDefault="002A094C" w:rsidP="00FB7870">
      <w:pPr>
        <w:pStyle w:val="Heading2"/>
      </w:pPr>
      <w:r>
        <w:t>Disclaimer</w:t>
      </w:r>
    </w:p>
    <w:p w14:paraId="3BB61E28" w14:textId="41311E6B" w:rsidR="002A094C" w:rsidRDefault="002A094C" w:rsidP="002A094C">
      <w:r w:rsidRPr="002A094C">
        <w:t xml:space="preserve">Any views expressed here are those of the authors and not necessarily those of </w:t>
      </w:r>
      <w:r w:rsidR="00DA2DFE">
        <w:t>Statistics Canada</w:t>
      </w:r>
      <w:r w:rsidRPr="002A094C">
        <w:t xml:space="preserve"> or our data providers. We thank </w:t>
      </w:r>
      <w:r w:rsidR="00DA2DFE">
        <w:t>Matthew Hoffarth and Mathew Kelly of National Economic Accounts Division at</w:t>
      </w:r>
      <w:r w:rsidRPr="002A094C">
        <w:t xml:space="preserve"> </w:t>
      </w:r>
      <w:r w:rsidR="00DA2DFE">
        <w:t>Statistics Canada</w:t>
      </w:r>
      <w:r w:rsidRPr="002A094C">
        <w:t xml:space="preserve"> for helpful feedback and participation in prior stages of this project. Estimates in this paper are not official statistics – results are preliminary and for vetting/methodological purposes.</w:t>
      </w:r>
    </w:p>
    <w:p w14:paraId="32A25FE6" w14:textId="77777777" w:rsidR="0066693B" w:rsidRDefault="0066693B" w:rsidP="002A094C"/>
    <w:p w14:paraId="447B1323" w14:textId="77777777" w:rsidR="0066693B" w:rsidRDefault="0066693B" w:rsidP="00FB7870"/>
    <w:p w14:paraId="34FC442C" w14:textId="77777777" w:rsidR="00677DF5" w:rsidRDefault="00677DF5" w:rsidP="00FB7870"/>
    <w:p w14:paraId="2AFFC9AE" w14:textId="77777777" w:rsidR="00810B30" w:rsidRDefault="00810B30" w:rsidP="00FB7870"/>
    <w:p w14:paraId="0645FBC2" w14:textId="77777777" w:rsidR="00810B30" w:rsidRDefault="00810B30" w:rsidP="00FB7870"/>
    <w:p w14:paraId="295C09CC" w14:textId="77777777" w:rsidR="00810B30" w:rsidRDefault="00810B30" w:rsidP="00FB7870"/>
    <w:p w14:paraId="1AD251B1" w14:textId="77777777" w:rsidR="00810B30" w:rsidRDefault="00810B30" w:rsidP="00FB7870"/>
    <w:p w14:paraId="68CB728F" w14:textId="77777777" w:rsidR="00810B30" w:rsidRDefault="00810B30" w:rsidP="00FB7870"/>
    <w:p w14:paraId="6FDAA085" w14:textId="77777777" w:rsidR="002035D5" w:rsidRDefault="002035D5" w:rsidP="00FB7870"/>
    <w:p w14:paraId="5D17BD16" w14:textId="77777777" w:rsidR="00810B30" w:rsidRDefault="00810B30" w:rsidP="00FB7870"/>
    <w:p w14:paraId="15FF8D38" w14:textId="77777777" w:rsidR="00810B30" w:rsidRDefault="00810B30" w:rsidP="00FB7870"/>
    <w:p w14:paraId="698CC9B6" w14:textId="77777777" w:rsidR="00677DF5" w:rsidRDefault="00677DF5" w:rsidP="00FB7870"/>
    <w:p w14:paraId="37D43411" w14:textId="6BE9B56C" w:rsidR="00677DF5" w:rsidRDefault="00483B14" w:rsidP="00483B14">
      <w:pPr>
        <w:pStyle w:val="Heading2"/>
      </w:pPr>
      <w:r>
        <w:lastRenderedPageBreak/>
        <w:t xml:space="preserve">Table of </w:t>
      </w:r>
      <w:r w:rsidR="00667A43">
        <w:t>c</w:t>
      </w:r>
      <w:r>
        <w:t>ontents</w:t>
      </w:r>
    </w:p>
    <w:p w14:paraId="0645BC0F" w14:textId="77777777" w:rsidR="00677DF5" w:rsidRDefault="00677DF5" w:rsidP="00FB7870"/>
    <w:p w14:paraId="52FD2871" w14:textId="54195357" w:rsidR="00677DF5" w:rsidRPr="00810B30" w:rsidRDefault="00483B14" w:rsidP="00093889">
      <w:pPr>
        <w:pStyle w:val="ListParagraph"/>
        <w:numPr>
          <w:ilvl w:val="0"/>
          <w:numId w:val="7"/>
        </w:numPr>
        <w:rPr>
          <w:b/>
          <w:bCs/>
        </w:rPr>
      </w:pPr>
      <w:r w:rsidRPr="00810B30">
        <w:rPr>
          <w:b/>
          <w:bCs/>
        </w:rPr>
        <w:t>Introduction</w:t>
      </w:r>
    </w:p>
    <w:p w14:paraId="786B71AA" w14:textId="342CF068" w:rsidR="00483B14" w:rsidRPr="00810B30" w:rsidRDefault="00483B14" w:rsidP="00093889">
      <w:pPr>
        <w:pStyle w:val="ListParagraph"/>
        <w:numPr>
          <w:ilvl w:val="1"/>
          <w:numId w:val="7"/>
        </w:numPr>
        <w:rPr>
          <w:b/>
          <w:bCs/>
        </w:rPr>
      </w:pPr>
      <w:r w:rsidRPr="00810B30">
        <w:rPr>
          <w:b/>
          <w:bCs/>
        </w:rPr>
        <w:t>Available data sources</w:t>
      </w:r>
    </w:p>
    <w:p w14:paraId="22A878BF" w14:textId="71FEDF65" w:rsidR="00810B30" w:rsidRPr="00810B30" w:rsidRDefault="00810B30" w:rsidP="00093889">
      <w:pPr>
        <w:pStyle w:val="ListParagraph"/>
        <w:numPr>
          <w:ilvl w:val="1"/>
          <w:numId w:val="7"/>
        </w:numPr>
        <w:rPr>
          <w:b/>
          <w:bCs/>
        </w:rPr>
      </w:pPr>
      <w:r>
        <w:rPr>
          <w:b/>
          <w:bCs/>
        </w:rPr>
        <w:t xml:space="preserve">Current methodology for sectoring </w:t>
      </w:r>
    </w:p>
    <w:p w14:paraId="60DCF1DA" w14:textId="729AF525" w:rsidR="00483B14" w:rsidRPr="00483B14" w:rsidRDefault="00483B14" w:rsidP="00483B14">
      <w:pPr>
        <w:rPr>
          <w:b/>
          <w:bCs/>
        </w:rPr>
      </w:pPr>
      <w:r w:rsidRPr="00483B14">
        <w:rPr>
          <w:b/>
          <w:bCs/>
        </w:rPr>
        <w:t xml:space="preserve">2.0 Key </w:t>
      </w:r>
      <w:r w:rsidR="00667A43">
        <w:rPr>
          <w:b/>
          <w:bCs/>
        </w:rPr>
        <w:t>c</w:t>
      </w:r>
      <w:r w:rsidRPr="00483B14">
        <w:rPr>
          <w:b/>
          <w:bCs/>
        </w:rPr>
        <w:t xml:space="preserve">hallenges </w:t>
      </w:r>
      <w:r w:rsidR="00667A43">
        <w:rPr>
          <w:b/>
          <w:bCs/>
        </w:rPr>
        <w:t>i</w:t>
      </w:r>
      <w:r w:rsidRPr="00483B14">
        <w:rPr>
          <w:b/>
          <w:bCs/>
        </w:rPr>
        <w:t xml:space="preserve">dentified </w:t>
      </w:r>
    </w:p>
    <w:p w14:paraId="22D490A4" w14:textId="5B07760A" w:rsidR="00483B14" w:rsidRPr="00483B14" w:rsidRDefault="00483B14" w:rsidP="00483B14">
      <w:pPr>
        <w:rPr>
          <w:b/>
          <w:bCs/>
        </w:rPr>
      </w:pPr>
      <w:r w:rsidRPr="00483B14">
        <w:rPr>
          <w:b/>
          <w:bCs/>
        </w:rPr>
        <w:t>3.0 Analysis</w:t>
      </w:r>
      <w:r w:rsidR="00901410">
        <w:rPr>
          <w:b/>
          <w:bCs/>
        </w:rPr>
        <w:t xml:space="preserve"> and </w:t>
      </w:r>
      <w:r w:rsidR="00667A43">
        <w:rPr>
          <w:b/>
          <w:bCs/>
        </w:rPr>
        <w:t>r</w:t>
      </w:r>
      <w:r w:rsidR="00901410">
        <w:rPr>
          <w:b/>
          <w:bCs/>
        </w:rPr>
        <w:t>esults</w:t>
      </w:r>
    </w:p>
    <w:p w14:paraId="016905E8" w14:textId="77777777" w:rsidR="000B05E8" w:rsidRDefault="00483B14" w:rsidP="006D0D68">
      <w:pPr>
        <w:ind w:firstLine="720"/>
        <w:rPr>
          <w:b/>
          <w:bCs/>
        </w:rPr>
      </w:pPr>
      <w:r w:rsidRPr="00483B14">
        <w:rPr>
          <w:b/>
          <w:bCs/>
        </w:rPr>
        <w:t xml:space="preserve">3.1 Crude </w:t>
      </w:r>
      <w:r w:rsidR="00810B30">
        <w:rPr>
          <w:b/>
          <w:bCs/>
        </w:rPr>
        <w:t>o</w:t>
      </w:r>
      <w:r w:rsidRPr="00483B14">
        <w:rPr>
          <w:b/>
          <w:bCs/>
        </w:rPr>
        <w:t xml:space="preserve">il and </w:t>
      </w:r>
      <w:r w:rsidR="00810B30">
        <w:rPr>
          <w:b/>
          <w:bCs/>
        </w:rPr>
        <w:t>n</w:t>
      </w:r>
      <w:r w:rsidRPr="00483B14">
        <w:rPr>
          <w:b/>
          <w:bCs/>
        </w:rPr>
        <w:t>atural</w:t>
      </w:r>
      <w:r w:rsidR="00810B30">
        <w:rPr>
          <w:b/>
          <w:bCs/>
        </w:rPr>
        <w:t xml:space="preserve"> g</w:t>
      </w:r>
      <w:r w:rsidRPr="00483B14">
        <w:rPr>
          <w:b/>
          <w:bCs/>
        </w:rPr>
        <w:t>as</w:t>
      </w:r>
    </w:p>
    <w:p w14:paraId="045B9401" w14:textId="1591474D" w:rsidR="006D0D68" w:rsidRPr="00483B14" w:rsidRDefault="00483B14" w:rsidP="006D0D68">
      <w:pPr>
        <w:ind w:firstLine="720"/>
        <w:rPr>
          <w:b/>
          <w:bCs/>
        </w:rPr>
      </w:pPr>
      <w:r w:rsidRPr="00483B14">
        <w:rPr>
          <w:b/>
          <w:bCs/>
        </w:rPr>
        <w:t>3.2 Potash</w:t>
      </w:r>
    </w:p>
    <w:p w14:paraId="14F683DF" w14:textId="65C45942" w:rsidR="006D0D68" w:rsidRPr="00483B14" w:rsidRDefault="00483B14" w:rsidP="006D0D68">
      <w:pPr>
        <w:ind w:firstLine="720"/>
        <w:rPr>
          <w:b/>
          <w:bCs/>
        </w:rPr>
      </w:pPr>
      <w:r w:rsidRPr="00483B14">
        <w:rPr>
          <w:b/>
          <w:bCs/>
        </w:rPr>
        <w:t>3.3 Gold</w:t>
      </w:r>
    </w:p>
    <w:p w14:paraId="1EB0DF6B" w14:textId="49E473F9" w:rsidR="006D0D68" w:rsidRPr="00483B14" w:rsidRDefault="00483B14" w:rsidP="006D0D68">
      <w:pPr>
        <w:ind w:firstLine="720"/>
        <w:rPr>
          <w:b/>
          <w:bCs/>
        </w:rPr>
      </w:pPr>
      <w:r w:rsidRPr="00483B14">
        <w:rPr>
          <w:b/>
          <w:bCs/>
        </w:rPr>
        <w:t>3.4 Crude bitumen</w:t>
      </w:r>
    </w:p>
    <w:p w14:paraId="63C06574" w14:textId="484F423C" w:rsidR="00483B14" w:rsidRPr="00483B14" w:rsidRDefault="00483B14" w:rsidP="00483B14">
      <w:pPr>
        <w:rPr>
          <w:b/>
          <w:bCs/>
        </w:rPr>
      </w:pPr>
      <w:r w:rsidRPr="00483B14">
        <w:rPr>
          <w:b/>
          <w:bCs/>
        </w:rPr>
        <w:t>4.0 Conclusion</w:t>
      </w:r>
    </w:p>
    <w:p w14:paraId="15713703" w14:textId="6BBA37DA" w:rsidR="00483B14" w:rsidRPr="00483B14" w:rsidRDefault="000B05E8" w:rsidP="000B05E8">
      <w:pPr>
        <w:ind w:firstLine="720"/>
        <w:rPr>
          <w:b/>
          <w:bCs/>
        </w:rPr>
      </w:pPr>
      <w:r>
        <w:rPr>
          <w:b/>
          <w:bCs/>
        </w:rPr>
        <w:t>4.1</w:t>
      </w:r>
      <w:r w:rsidR="00483B14" w:rsidRPr="00483B14">
        <w:rPr>
          <w:b/>
          <w:bCs/>
        </w:rPr>
        <w:t xml:space="preserve"> Outstanding </w:t>
      </w:r>
      <w:r w:rsidR="00810B30">
        <w:rPr>
          <w:b/>
          <w:bCs/>
        </w:rPr>
        <w:t>q</w:t>
      </w:r>
      <w:r w:rsidR="00483B14" w:rsidRPr="00483B14">
        <w:rPr>
          <w:b/>
          <w:bCs/>
        </w:rPr>
        <w:t>uestions</w:t>
      </w:r>
    </w:p>
    <w:p w14:paraId="40400DDE" w14:textId="06E9158A" w:rsidR="00483B14" w:rsidRPr="00483B14" w:rsidRDefault="000B05E8" w:rsidP="00483B14">
      <w:pPr>
        <w:rPr>
          <w:b/>
          <w:bCs/>
        </w:rPr>
      </w:pPr>
      <w:r>
        <w:rPr>
          <w:b/>
          <w:bCs/>
        </w:rPr>
        <w:t>5</w:t>
      </w:r>
      <w:r w:rsidR="00483B14" w:rsidRPr="00483B14">
        <w:rPr>
          <w:b/>
          <w:bCs/>
        </w:rPr>
        <w:t xml:space="preserve">.0 Future </w:t>
      </w:r>
      <w:r w:rsidR="00810B30">
        <w:rPr>
          <w:b/>
          <w:bCs/>
        </w:rPr>
        <w:t>w</w:t>
      </w:r>
      <w:r w:rsidR="00483B14" w:rsidRPr="00483B14">
        <w:rPr>
          <w:b/>
          <w:bCs/>
        </w:rPr>
        <w:t>ork</w:t>
      </w:r>
    </w:p>
    <w:p w14:paraId="1DA33697" w14:textId="7F40D5BE" w:rsidR="00483B14" w:rsidRPr="00483B14" w:rsidRDefault="00483B14" w:rsidP="00483B14">
      <w:pPr>
        <w:rPr>
          <w:b/>
          <w:bCs/>
        </w:rPr>
      </w:pPr>
      <w:r w:rsidRPr="00483B14">
        <w:rPr>
          <w:b/>
          <w:bCs/>
        </w:rPr>
        <w:t>Appendix A</w:t>
      </w:r>
      <w:r w:rsidR="00901410">
        <w:rPr>
          <w:b/>
          <w:bCs/>
        </w:rPr>
        <w:t xml:space="preserve">. </w:t>
      </w:r>
      <w:r w:rsidRPr="00483B14">
        <w:rPr>
          <w:b/>
          <w:bCs/>
        </w:rPr>
        <w:t xml:space="preserve">Terms and </w:t>
      </w:r>
      <w:r w:rsidR="00810B30">
        <w:rPr>
          <w:b/>
          <w:bCs/>
        </w:rPr>
        <w:t>d</w:t>
      </w:r>
      <w:r w:rsidRPr="00483B14">
        <w:rPr>
          <w:b/>
          <w:bCs/>
        </w:rPr>
        <w:t>efinitions</w:t>
      </w:r>
    </w:p>
    <w:p w14:paraId="280C49CD" w14:textId="645A4C00" w:rsidR="00483B14" w:rsidRPr="00483B14" w:rsidRDefault="00483B14" w:rsidP="00483B14">
      <w:pPr>
        <w:rPr>
          <w:b/>
          <w:bCs/>
        </w:rPr>
      </w:pPr>
      <w:r w:rsidRPr="00483B14">
        <w:rPr>
          <w:b/>
          <w:bCs/>
        </w:rPr>
        <w:t>Appendix B</w:t>
      </w:r>
      <w:r w:rsidR="00901410">
        <w:rPr>
          <w:b/>
          <w:bCs/>
        </w:rPr>
        <w:t>. Summary of r</w:t>
      </w:r>
      <w:r w:rsidRPr="00483B14">
        <w:rPr>
          <w:b/>
          <w:bCs/>
        </w:rPr>
        <w:t xml:space="preserve">oyalty </w:t>
      </w:r>
      <w:r w:rsidR="00810B30">
        <w:rPr>
          <w:b/>
          <w:bCs/>
        </w:rPr>
        <w:t>r</w:t>
      </w:r>
      <w:r w:rsidRPr="00483B14">
        <w:rPr>
          <w:b/>
          <w:bCs/>
        </w:rPr>
        <w:t xml:space="preserve">egimes </w:t>
      </w:r>
    </w:p>
    <w:p w14:paraId="006C5D45" w14:textId="332641A5" w:rsidR="00483B14" w:rsidRDefault="00483B14" w:rsidP="00483B14"/>
    <w:p w14:paraId="7DF4C7B1" w14:textId="77777777" w:rsidR="006D0D68" w:rsidRDefault="006D0D68" w:rsidP="00483B14"/>
    <w:p w14:paraId="70F39866" w14:textId="77777777" w:rsidR="006D0D68" w:rsidRDefault="006D0D68" w:rsidP="00483B14"/>
    <w:p w14:paraId="17A55110" w14:textId="77777777" w:rsidR="006D0D68" w:rsidRDefault="006D0D68" w:rsidP="00483B14"/>
    <w:p w14:paraId="17876568" w14:textId="77777777" w:rsidR="006D0D68" w:rsidRDefault="006D0D68" w:rsidP="00483B14"/>
    <w:p w14:paraId="62D977F5" w14:textId="77777777" w:rsidR="006D0D68" w:rsidRDefault="006D0D68" w:rsidP="00483B14"/>
    <w:p w14:paraId="7E39488F" w14:textId="77777777" w:rsidR="006D0D68" w:rsidRDefault="006D0D68" w:rsidP="00483B14"/>
    <w:p w14:paraId="1CC622F0" w14:textId="77777777" w:rsidR="006D0D68" w:rsidRDefault="006D0D68" w:rsidP="00483B14"/>
    <w:p w14:paraId="7A9F81E1" w14:textId="77777777" w:rsidR="006D0D68" w:rsidRDefault="006D0D68" w:rsidP="00483B14"/>
    <w:p w14:paraId="1CCF6B7B" w14:textId="77777777" w:rsidR="006D0D68" w:rsidRDefault="006D0D68" w:rsidP="00483B14"/>
    <w:p w14:paraId="60DBDAE4" w14:textId="77777777" w:rsidR="006D0D68" w:rsidRDefault="006D0D68" w:rsidP="00483B14"/>
    <w:p w14:paraId="4B634D3E" w14:textId="77777777" w:rsidR="006D0D68" w:rsidRDefault="006D0D68" w:rsidP="00483B14"/>
    <w:p w14:paraId="4AF3EA5C" w14:textId="77777777" w:rsidR="00677DF5" w:rsidRDefault="00677DF5" w:rsidP="00FB7870"/>
    <w:p w14:paraId="6918A595" w14:textId="2F6D8DBE" w:rsidR="00677DF5" w:rsidRDefault="006D0D68" w:rsidP="006D0D68">
      <w:pPr>
        <w:pStyle w:val="Heading2"/>
      </w:pPr>
      <w:r>
        <w:lastRenderedPageBreak/>
        <w:t xml:space="preserve">Table of </w:t>
      </w:r>
      <w:r w:rsidR="00667A43">
        <w:t>c</w:t>
      </w:r>
      <w:r>
        <w:t>harts</w:t>
      </w:r>
    </w:p>
    <w:p w14:paraId="6D4E04BA" w14:textId="77777777" w:rsidR="006D0D68" w:rsidRPr="006D0D68" w:rsidRDefault="006D0D68" w:rsidP="006D0D68"/>
    <w:p w14:paraId="60320359" w14:textId="77777777" w:rsidR="006D0D68" w:rsidRDefault="006D0D68" w:rsidP="006D0D68">
      <w:pPr>
        <w:spacing w:line="240" w:lineRule="auto"/>
        <w:rPr>
          <w:b/>
          <w:bCs/>
        </w:rPr>
      </w:pPr>
      <w:r w:rsidRPr="006D0D68">
        <w:rPr>
          <w:b/>
          <w:bCs/>
        </w:rPr>
        <w:t>Table 1. Allocation of crude oil and natural gas present value on net price I, by economic owners, using StatCan royalty data, 2010 to 2020.</w:t>
      </w:r>
    </w:p>
    <w:p w14:paraId="75CD056D" w14:textId="77777777" w:rsidR="006D0D68" w:rsidRDefault="006D0D68" w:rsidP="006D0D68">
      <w:pPr>
        <w:spacing w:line="240" w:lineRule="auto"/>
        <w:rPr>
          <w:b/>
          <w:bCs/>
        </w:rPr>
      </w:pPr>
      <w:r w:rsidRPr="006D0D68">
        <w:rPr>
          <w:b/>
          <w:bCs/>
        </w:rPr>
        <w:t>Table 2. Allocation of crude oil and natural gas present value on net price, by economic owners, using CAPP royalty data, 2010 to 2020</w:t>
      </w:r>
    </w:p>
    <w:p w14:paraId="74E2790E" w14:textId="77777777" w:rsidR="006D0D68" w:rsidRDefault="006D0D68" w:rsidP="006D0D68">
      <w:pPr>
        <w:spacing w:line="240" w:lineRule="auto"/>
        <w:rPr>
          <w:b/>
          <w:bCs/>
        </w:rPr>
      </w:pPr>
      <w:r w:rsidRPr="006D0D68">
        <w:rPr>
          <w:b/>
          <w:bCs/>
        </w:rPr>
        <w:t>Table 3. Difference between the total provincial royalties reported by CAPP and StatCan, 2010 to 2020.</w:t>
      </w:r>
    </w:p>
    <w:p w14:paraId="3CD858AE" w14:textId="3254E49B" w:rsidR="006D0D68" w:rsidRDefault="006D0D68" w:rsidP="006D0D68">
      <w:pPr>
        <w:spacing w:line="240" w:lineRule="auto"/>
        <w:rPr>
          <w:b/>
          <w:bCs/>
        </w:rPr>
      </w:pPr>
      <w:r w:rsidRPr="006D0D68">
        <w:rPr>
          <w:b/>
          <w:bCs/>
        </w:rPr>
        <w:t>Table 4. Percent share of ownership (royalty rates),</w:t>
      </w:r>
      <w:r w:rsidR="008D28AA">
        <w:rPr>
          <w:b/>
          <w:bCs/>
        </w:rPr>
        <w:t xml:space="preserve"> </w:t>
      </w:r>
      <w:r w:rsidRPr="006D0D68">
        <w:rPr>
          <w:b/>
          <w:bCs/>
        </w:rPr>
        <w:t>by economic owners, using StatCan</w:t>
      </w:r>
      <w:r w:rsidR="008D28AA">
        <w:rPr>
          <w:b/>
          <w:bCs/>
        </w:rPr>
        <w:t xml:space="preserve"> </w:t>
      </w:r>
      <w:r w:rsidR="008D28AA" w:rsidRPr="006D0D68">
        <w:rPr>
          <w:b/>
          <w:bCs/>
        </w:rPr>
        <w:t>data, 2010</w:t>
      </w:r>
      <w:r w:rsidRPr="006D0D68">
        <w:rPr>
          <w:b/>
          <w:bCs/>
        </w:rPr>
        <w:t>0 to 2020.</w:t>
      </w:r>
    </w:p>
    <w:p w14:paraId="5700CE55" w14:textId="4EB79E14" w:rsidR="006D0D68" w:rsidRDefault="006D0D68" w:rsidP="006D0D68">
      <w:pPr>
        <w:spacing w:line="240" w:lineRule="auto"/>
        <w:rPr>
          <w:b/>
          <w:bCs/>
        </w:rPr>
      </w:pPr>
      <w:r w:rsidRPr="006D0D68">
        <w:rPr>
          <w:b/>
          <w:bCs/>
        </w:rPr>
        <w:t xml:space="preserve">Table 5. Allocation of potash present </w:t>
      </w:r>
      <w:r w:rsidR="008D28AA" w:rsidRPr="006D0D68">
        <w:rPr>
          <w:b/>
          <w:bCs/>
        </w:rPr>
        <w:t>value</w:t>
      </w:r>
      <w:r w:rsidR="00883F08">
        <w:rPr>
          <w:b/>
          <w:bCs/>
        </w:rPr>
        <w:t xml:space="preserve"> on net price I</w:t>
      </w:r>
      <w:r w:rsidR="008D28AA" w:rsidRPr="006D0D68">
        <w:rPr>
          <w:b/>
          <w:bCs/>
        </w:rPr>
        <w:t>, by</w:t>
      </w:r>
      <w:r w:rsidRPr="006D0D68">
        <w:rPr>
          <w:b/>
          <w:bCs/>
        </w:rPr>
        <w:t xml:space="preserve"> economic </w:t>
      </w:r>
      <w:r w:rsidR="008D28AA" w:rsidRPr="006D0D68">
        <w:rPr>
          <w:b/>
          <w:bCs/>
        </w:rPr>
        <w:t>owners, using the</w:t>
      </w:r>
      <w:r w:rsidRPr="006D0D68">
        <w:rPr>
          <w:b/>
          <w:bCs/>
        </w:rPr>
        <w:t xml:space="preserve"> royalty values calculated from Saskatchewan regime, 2010 to 2020.</w:t>
      </w:r>
    </w:p>
    <w:p w14:paraId="66882B2D" w14:textId="7DB07CC4" w:rsidR="006D0D68" w:rsidRDefault="006D0D68" w:rsidP="006D0D68">
      <w:pPr>
        <w:spacing w:line="240" w:lineRule="auto"/>
        <w:rPr>
          <w:b/>
          <w:bCs/>
        </w:rPr>
      </w:pPr>
      <w:r w:rsidRPr="006D0D68">
        <w:rPr>
          <w:b/>
          <w:bCs/>
        </w:rPr>
        <w:t xml:space="preserve">Table 6. Percent share of ownership (royalty rates), by economic owners, using StatCan </w:t>
      </w:r>
      <w:r w:rsidR="008D28AA" w:rsidRPr="006D0D68">
        <w:rPr>
          <w:b/>
          <w:bCs/>
        </w:rPr>
        <w:t>data, 2010</w:t>
      </w:r>
      <w:r w:rsidRPr="006D0D68">
        <w:rPr>
          <w:b/>
          <w:bCs/>
        </w:rPr>
        <w:t xml:space="preserve"> to 2020.</w:t>
      </w:r>
    </w:p>
    <w:p w14:paraId="1A4B5E8F" w14:textId="3BBA32FF" w:rsidR="006D0D68" w:rsidRDefault="006D0D68" w:rsidP="006D0D68">
      <w:pPr>
        <w:spacing w:line="240" w:lineRule="auto"/>
        <w:rPr>
          <w:b/>
          <w:bCs/>
        </w:rPr>
      </w:pPr>
      <w:r w:rsidRPr="006D0D68">
        <w:rPr>
          <w:b/>
          <w:bCs/>
        </w:rPr>
        <w:t xml:space="preserve">Table 7. Allocation of gold present </w:t>
      </w:r>
      <w:r w:rsidR="008D28AA" w:rsidRPr="006D0D68">
        <w:rPr>
          <w:b/>
          <w:bCs/>
        </w:rPr>
        <w:t>value</w:t>
      </w:r>
      <w:r w:rsidR="00883F08">
        <w:rPr>
          <w:b/>
          <w:bCs/>
        </w:rPr>
        <w:t xml:space="preserve"> on net price I</w:t>
      </w:r>
      <w:r w:rsidR="008D28AA" w:rsidRPr="006D0D68">
        <w:rPr>
          <w:b/>
          <w:bCs/>
        </w:rPr>
        <w:t>, by</w:t>
      </w:r>
      <w:r w:rsidRPr="006D0D68">
        <w:rPr>
          <w:b/>
          <w:bCs/>
        </w:rPr>
        <w:t xml:space="preserve"> economic owners, using royalty values calculated from provincial regimes, 2010 to 2020.</w:t>
      </w:r>
    </w:p>
    <w:p w14:paraId="1A24F127" w14:textId="2B71FCC8" w:rsidR="006D0D68" w:rsidRDefault="006D0D68" w:rsidP="006D0D68">
      <w:pPr>
        <w:spacing w:line="240" w:lineRule="auto"/>
        <w:rPr>
          <w:b/>
          <w:bCs/>
        </w:rPr>
      </w:pPr>
      <w:r w:rsidRPr="006D0D68">
        <w:rPr>
          <w:b/>
          <w:bCs/>
        </w:rPr>
        <w:t xml:space="preserve">Table 8. Percent share of ownership (royalty rates), by economic owners, using StatCan </w:t>
      </w:r>
      <w:r w:rsidR="008D28AA" w:rsidRPr="006D0D68">
        <w:rPr>
          <w:b/>
          <w:bCs/>
        </w:rPr>
        <w:t>data, 2010</w:t>
      </w:r>
      <w:r w:rsidRPr="006D0D68">
        <w:rPr>
          <w:b/>
          <w:bCs/>
        </w:rPr>
        <w:t xml:space="preserve"> to 2020.</w:t>
      </w:r>
    </w:p>
    <w:p w14:paraId="2C0E4912" w14:textId="772298C1" w:rsidR="006D0D68" w:rsidRDefault="006D0D68" w:rsidP="006D0D68">
      <w:pPr>
        <w:spacing w:line="240" w:lineRule="auto"/>
        <w:rPr>
          <w:b/>
          <w:bCs/>
        </w:rPr>
      </w:pPr>
      <w:r w:rsidRPr="006D0D68">
        <w:rPr>
          <w:b/>
          <w:bCs/>
        </w:rPr>
        <w:t>Table 9. Comparison of value allocation between royalty estimates from current method and new method using CAPP data, 2010 to 2020.</w:t>
      </w:r>
    </w:p>
    <w:p w14:paraId="50385FC2" w14:textId="028D707F" w:rsidR="006D0D68" w:rsidRDefault="006D0D68" w:rsidP="006D0D68">
      <w:pPr>
        <w:spacing w:line="240" w:lineRule="auto"/>
        <w:rPr>
          <w:b/>
          <w:bCs/>
        </w:rPr>
      </w:pPr>
      <w:r w:rsidRPr="006D0D68">
        <w:rPr>
          <w:b/>
          <w:bCs/>
        </w:rPr>
        <w:t>Table 10. Percent share of ownership (royalty rates)</w:t>
      </w:r>
      <w:r>
        <w:rPr>
          <w:b/>
          <w:bCs/>
        </w:rPr>
        <w:t>.</w:t>
      </w:r>
    </w:p>
    <w:p w14:paraId="2BFA8BB4" w14:textId="322B9CEF" w:rsidR="006D0D68" w:rsidRDefault="006D0D68" w:rsidP="006D0D68">
      <w:pPr>
        <w:spacing w:line="240" w:lineRule="auto"/>
        <w:rPr>
          <w:b/>
          <w:bCs/>
        </w:rPr>
      </w:pPr>
      <w:r w:rsidRPr="006D0D68">
        <w:rPr>
          <w:b/>
          <w:bCs/>
        </w:rPr>
        <w:t>Table 11. Allocation of crude bitumen present value</w:t>
      </w:r>
      <w:r w:rsidR="00883F08">
        <w:rPr>
          <w:b/>
          <w:bCs/>
        </w:rPr>
        <w:t xml:space="preserve"> on net price I</w:t>
      </w:r>
      <w:r w:rsidRPr="006D0D68">
        <w:rPr>
          <w:b/>
          <w:bCs/>
        </w:rPr>
        <w:t xml:space="preserve">, by economic ownership, using Alberta royalty revenue data, 2010 to 2020. </w:t>
      </w:r>
    </w:p>
    <w:p w14:paraId="0BD927A8" w14:textId="77777777" w:rsidR="006D0D68" w:rsidRDefault="006D0D68" w:rsidP="006D0D68">
      <w:pPr>
        <w:spacing w:line="240" w:lineRule="auto"/>
        <w:rPr>
          <w:b/>
          <w:bCs/>
        </w:rPr>
      </w:pPr>
      <w:r w:rsidRPr="006D0D68">
        <w:rPr>
          <w:b/>
          <w:bCs/>
        </w:rPr>
        <w:t xml:space="preserve">Table 12. Average royalty rate from Alberta’s royalty reports, 2016 to 2022. </w:t>
      </w:r>
    </w:p>
    <w:p w14:paraId="22C405E2" w14:textId="054B0E84" w:rsidR="006D0D68" w:rsidRDefault="006D0D68" w:rsidP="006D0D68">
      <w:pPr>
        <w:spacing w:line="240" w:lineRule="auto"/>
        <w:rPr>
          <w:b/>
          <w:bCs/>
        </w:rPr>
      </w:pPr>
      <w:r w:rsidRPr="006D0D68">
        <w:rPr>
          <w:b/>
          <w:bCs/>
        </w:rPr>
        <w:t xml:space="preserve">Table 13. Alberta potential royalties, 2016 to 2022. </w:t>
      </w:r>
    </w:p>
    <w:p w14:paraId="4C35E0B2" w14:textId="6CC4B469" w:rsidR="006D0D68" w:rsidRPr="006D0D68" w:rsidRDefault="006D0D68" w:rsidP="006D0D68">
      <w:pPr>
        <w:spacing w:line="240" w:lineRule="auto"/>
        <w:rPr>
          <w:b/>
          <w:bCs/>
        </w:rPr>
      </w:pPr>
      <w:r w:rsidRPr="006D0D68">
        <w:rPr>
          <w:b/>
          <w:bCs/>
        </w:rPr>
        <w:t xml:space="preserve">Table 14. Comparison of oil sands royalties, by data source, 2016 to 2022. </w:t>
      </w:r>
    </w:p>
    <w:p w14:paraId="63C3D13D" w14:textId="77777777" w:rsidR="002035D5" w:rsidRDefault="002035D5" w:rsidP="00FB7870"/>
    <w:p w14:paraId="7EA298A7" w14:textId="77777777" w:rsidR="002035D5" w:rsidRDefault="002035D5" w:rsidP="00FB7870"/>
    <w:p w14:paraId="79453DB9" w14:textId="77777777" w:rsidR="002035D5" w:rsidRDefault="002035D5" w:rsidP="00FB7870"/>
    <w:p w14:paraId="24254049" w14:textId="77777777" w:rsidR="002035D5" w:rsidRDefault="002035D5" w:rsidP="00FB7870"/>
    <w:p w14:paraId="55863F8D" w14:textId="77777777" w:rsidR="00677DF5" w:rsidRDefault="00677DF5" w:rsidP="00FB7870"/>
    <w:p w14:paraId="47430A16" w14:textId="77777777" w:rsidR="00677DF5" w:rsidRPr="002A094C" w:rsidRDefault="00677DF5" w:rsidP="00FB7870"/>
    <w:p w14:paraId="3E21698D" w14:textId="1EC2A678" w:rsidR="0048018C" w:rsidRPr="0048018C" w:rsidRDefault="0056194D" w:rsidP="00E026F0">
      <w:pPr>
        <w:pStyle w:val="Heading2"/>
      </w:pPr>
      <w:r>
        <w:lastRenderedPageBreak/>
        <w:t xml:space="preserve">1.0 </w:t>
      </w:r>
      <w:r w:rsidR="0048018C" w:rsidRPr="0048018C">
        <w:t>Introduction</w:t>
      </w:r>
    </w:p>
    <w:p w14:paraId="322F98BC" w14:textId="2B788EBC" w:rsidR="00C8264E" w:rsidRDefault="009A6E0C" w:rsidP="00C8264E">
      <w:pPr>
        <w:spacing w:afterLines="40" w:after="96" w:line="240" w:lineRule="auto"/>
      </w:pPr>
      <w:r w:rsidRPr="009A6E0C">
        <w:t>Canada's abundant natural resources are an important component of the nation's wealth.</w:t>
      </w:r>
      <w:r w:rsidR="003A0C74">
        <w:t xml:space="preserve"> </w:t>
      </w:r>
      <w:r w:rsidR="003C79D6">
        <w:t xml:space="preserve">This wealth is measured </w:t>
      </w:r>
      <w:r w:rsidR="006E3A07">
        <w:t xml:space="preserve">in </w:t>
      </w:r>
      <w:r w:rsidR="003C79D6">
        <w:t xml:space="preserve">several ways at Statistics Canada </w:t>
      </w:r>
      <w:r>
        <w:t xml:space="preserve">through the Natural Resource Asset Account. The account measures the value and tracks changes in these assets over time, </w:t>
      </w:r>
      <w:r w:rsidR="003C79D6">
        <w:t xml:space="preserve">including physical stocks (i.e., proven and probably reserves) and flows (extraction, discovery of new deposits) related to energy and mineral reserves. </w:t>
      </w:r>
      <w:r w:rsidR="00E72D9E">
        <w:t xml:space="preserve">The physical stocks are also valued in monetary terms using the discounted stream of future cash flows related to extractive activities, or in other words the net present value (NPV) of accruing resource rent. While these methods establish a very clear picture of the quantity and value of Canada’s natural resources, they do not address the sectors of the economy </w:t>
      </w:r>
      <w:r>
        <w:t>that</w:t>
      </w:r>
      <w:r w:rsidR="00E72D9E">
        <w:t xml:space="preserve"> directly benefit from this wealth as economic owners.</w:t>
      </w:r>
      <w:r w:rsidR="00C8264E" w:rsidRPr="00C8264E">
        <w:t xml:space="preserve"> </w:t>
      </w:r>
    </w:p>
    <w:p w14:paraId="28755AD9" w14:textId="670343E7" w:rsidR="00E72D9E" w:rsidRDefault="00E72D9E" w:rsidP="000A3F4F">
      <w:pPr>
        <w:spacing w:afterLines="40" w:after="96" w:line="240" w:lineRule="auto"/>
      </w:pPr>
    </w:p>
    <w:p w14:paraId="708DA949" w14:textId="77777777" w:rsidR="00B923FC" w:rsidRDefault="00B923FC" w:rsidP="000A3F4F">
      <w:pPr>
        <w:spacing w:afterLines="40" w:after="96" w:line="240" w:lineRule="auto"/>
      </w:pPr>
    </w:p>
    <w:p w14:paraId="0E7F4228" w14:textId="77777777" w:rsidR="00AC1D17" w:rsidRDefault="00B923FC" w:rsidP="00AC1D17">
      <w:pPr>
        <w:spacing w:after="0" w:line="240" w:lineRule="auto"/>
        <w:rPr>
          <w:b/>
          <w:bCs/>
        </w:rPr>
      </w:pPr>
      <w:r w:rsidRPr="003A0C74">
        <w:rPr>
          <w:b/>
          <w:bCs/>
        </w:rPr>
        <w:t xml:space="preserve">Chart 1 </w:t>
      </w:r>
    </w:p>
    <w:p w14:paraId="57649ACA" w14:textId="507AB504" w:rsidR="00B923FC" w:rsidRPr="003A0C74" w:rsidRDefault="00B923FC" w:rsidP="00AC1D17">
      <w:pPr>
        <w:spacing w:after="0" w:line="240" w:lineRule="auto"/>
        <w:rPr>
          <w:b/>
          <w:bCs/>
          <w:lang w:val="en-US"/>
        </w:rPr>
      </w:pPr>
      <w:r w:rsidRPr="003A0C74">
        <w:rPr>
          <w:b/>
          <w:bCs/>
          <w:lang w:val="en-US"/>
        </w:rPr>
        <w:t>Canada’s natural resource wealth</w:t>
      </w:r>
      <w:r w:rsidR="00DF1AFF" w:rsidRPr="003A0C74">
        <w:rPr>
          <w:b/>
          <w:bCs/>
          <w:lang w:val="en-US"/>
        </w:rPr>
        <w:t xml:space="preserve"> for selected natural resources</w:t>
      </w:r>
      <w:r w:rsidRPr="003A0C74">
        <w:rPr>
          <w:b/>
          <w:bCs/>
          <w:lang w:val="en-US"/>
        </w:rPr>
        <w:t>, 202</w:t>
      </w:r>
      <w:r w:rsidR="0079270E" w:rsidRPr="003A0C74">
        <w:rPr>
          <w:b/>
          <w:bCs/>
          <w:lang w:val="en-US"/>
        </w:rPr>
        <w:t>4</w:t>
      </w:r>
    </w:p>
    <w:p w14:paraId="22618CB0" w14:textId="0C5ECF70" w:rsidR="00B923FC" w:rsidRDefault="004C69AC" w:rsidP="000A3F4F">
      <w:pPr>
        <w:spacing w:afterLines="40" w:after="96" w:line="240" w:lineRule="auto"/>
      </w:pPr>
      <w:r>
        <w:rPr>
          <w:noProof/>
        </w:rPr>
        <w:drawing>
          <wp:inline distT="0" distB="0" distL="0" distR="0" wp14:anchorId="2C48A92C" wp14:editId="774D7CCE">
            <wp:extent cx="5943600" cy="2895600"/>
            <wp:effectExtent l="0" t="0" r="0" b="0"/>
            <wp:docPr id="689287199" name="Chart 1">
              <a:extLst xmlns:a="http://schemas.openxmlformats.org/drawingml/2006/main">
                <a:ext uri="{FF2B5EF4-FFF2-40B4-BE49-F238E27FC236}">
                  <a16:creationId xmlns:a16="http://schemas.microsoft.com/office/drawing/2014/main" id="{A0E366C9-D486-77EB-6E61-61E95A9CDF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98AE55A" w14:textId="7FC83595" w:rsidR="00151AA2" w:rsidRDefault="00151AA2" w:rsidP="000A3F4F">
      <w:pPr>
        <w:spacing w:afterLines="40" w:after="96" w:line="240" w:lineRule="auto"/>
      </w:pPr>
      <w:r w:rsidRPr="003A0C74">
        <w:rPr>
          <w:b/>
          <w:bCs/>
        </w:rPr>
        <w:t>Source:</w:t>
      </w:r>
      <w:r>
        <w:t xml:space="preserve"> </w:t>
      </w:r>
      <w:r w:rsidRPr="00151AA2">
        <w:t>Statistics Canada. </w:t>
      </w:r>
      <w:hyperlink r:id="rId9" w:history="1">
        <w:r w:rsidRPr="00151AA2">
          <w:rPr>
            <w:rStyle w:val="Hyperlink"/>
          </w:rPr>
          <w:t>Table 38-10-0006-01  Value of selected natural resource reserves (x 1,000,000)</w:t>
        </w:r>
      </w:hyperlink>
      <w:r w:rsidR="003A0C74">
        <w:t>.</w:t>
      </w:r>
    </w:p>
    <w:p w14:paraId="2C201D00" w14:textId="4B087F4A" w:rsidR="00CA0031" w:rsidRDefault="00DC657D" w:rsidP="00416E79">
      <w:pPr>
        <w:spacing w:afterLines="40" w:after="96" w:line="240" w:lineRule="auto"/>
      </w:pPr>
      <w:r>
        <w:t>To address this, t</w:t>
      </w:r>
      <w:r w:rsidRPr="0066023D">
        <w:t xml:space="preserve">he </w:t>
      </w:r>
      <w:r>
        <w:t>System of National Accounts</w:t>
      </w:r>
      <w:bookmarkStart w:id="0" w:name="_Ref234929104"/>
      <w:r>
        <w:rPr>
          <w:rStyle w:val="FootnoteReference"/>
        </w:rPr>
        <w:footnoteReference w:id="1"/>
      </w:r>
      <w:bookmarkEnd w:id="0"/>
      <w:r>
        <w:t xml:space="preserve"> (</w:t>
      </w:r>
      <w:r w:rsidRPr="0066023D">
        <w:t>SNA 2025</w:t>
      </w:r>
      <w:r w:rsidR="003B701F">
        <w:t>)</w:t>
      </w:r>
      <w:r w:rsidR="003B701F" w:rsidRPr="0066023D">
        <w:t xml:space="preserve"> recommends</w:t>
      </w:r>
      <w:r w:rsidRPr="0066023D">
        <w:t xml:space="preserve"> that the </w:t>
      </w:r>
      <w:r w:rsidR="00D020F2">
        <w:t>n</w:t>
      </w:r>
      <w:r>
        <w:t xml:space="preserve">et </w:t>
      </w:r>
      <w:r w:rsidR="00D020F2">
        <w:t>pr</w:t>
      </w:r>
      <w:r>
        <w:t xml:space="preserve">esent </w:t>
      </w:r>
      <w:r w:rsidR="00D020F2">
        <w:t>v</w:t>
      </w:r>
      <w:r w:rsidRPr="0066023D">
        <w:t>alue</w:t>
      </w:r>
      <w:r>
        <w:t xml:space="preserve"> (NPV)</w:t>
      </w:r>
      <w:r w:rsidRPr="0066023D">
        <w:t xml:space="preserve"> of natural resource assets be </w:t>
      </w:r>
      <w:r>
        <w:t xml:space="preserve">allocated </w:t>
      </w:r>
      <w:r w:rsidRPr="0066023D">
        <w:t>between</w:t>
      </w:r>
      <w:r w:rsidR="00584BC9">
        <w:t xml:space="preserve"> the original legal owner and</w:t>
      </w:r>
      <w:r w:rsidRPr="0066023D">
        <w:t xml:space="preserve"> the extractor </w:t>
      </w:r>
      <w:r>
        <w:t>to reflect their share of economic ownership</w:t>
      </w:r>
      <w:r w:rsidRPr="0066023D">
        <w:t>.</w:t>
      </w:r>
      <w:r w:rsidR="00584BC9">
        <w:t xml:space="preserve"> The legal owners </w:t>
      </w:r>
      <w:r w:rsidR="001D73CA">
        <w:t xml:space="preserve">generally </w:t>
      </w:r>
      <w:r w:rsidR="00584BC9">
        <w:t>include federal government, provincial and territorial governments, and Indigenous general government</w:t>
      </w:r>
      <w:r w:rsidR="00005345">
        <w:t>s</w:t>
      </w:r>
      <w:r w:rsidR="00584BC9">
        <w:t xml:space="preserve">, while the extractor are private non-financial corporations. </w:t>
      </w:r>
      <w:r w:rsidRPr="0066023D">
        <w:t xml:space="preserve">This </w:t>
      </w:r>
      <w:r>
        <w:t xml:space="preserve">sectoring </w:t>
      </w:r>
      <w:r w:rsidRPr="0066023D">
        <w:t xml:space="preserve">approach is </w:t>
      </w:r>
      <w:r w:rsidR="005E411F">
        <w:t xml:space="preserve">already applied </w:t>
      </w:r>
      <w:r w:rsidRPr="0066023D">
        <w:t xml:space="preserve">in the </w:t>
      </w:r>
      <w:r w:rsidR="002035D5">
        <w:t xml:space="preserve">Canadian </w:t>
      </w:r>
      <w:r w:rsidRPr="0066023D">
        <w:t>National Balance Sheet Accounts (NBSA)</w:t>
      </w:r>
      <w:r w:rsidR="000635CA">
        <w:t xml:space="preserve"> for total subsoil and timber assets</w:t>
      </w:r>
      <w:r w:rsidRPr="0066023D">
        <w:t>.</w:t>
      </w:r>
      <w:r>
        <w:t xml:space="preserve"> </w:t>
      </w:r>
    </w:p>
    <w:p w14:paraId="534F0B2B" w14:textId="7EA72B66" w:rsidR="00F345EE" w:rsidRDefault="004104BA" w:rsidP="00F345EE">
      <w:pPr>
        <w:spacing w:afterLines="40" w:after="96" w:line="240" w:lineRule="auto"/>
      </w:pPr>
      <w:r>
        <w:t>The c</w:t>
      </w:r>
      <w:r w:rsidR="00AC3867">
        <w:t>urrent methodology to split the value of the</w:t>
      </w:r>
      <w:r w:rsidR="000635CA">
        <w:t xml:space="preserve">se </w:t>
      </w:r>
      <w:r w:rsidR="00AC3867">
        <w:t xml:space="preserve">asset </w:t>
      </w:r>
      <w:r w:rsidR="007418B8">
        <w:t xml:space="preserve">uses </w:t>
      </w:r>
      <w:r>
        <w:t xml:space="preserve">resource </w:t>
      </w:r>
      <w:r w:rsidR="000A3F4F" w:rsidRPr="0066023D">
        <w:t>royalty data</w:t>
      </w:r>
      <w:r w:rsidR="001E2D9E">
        <w:t xml:space="preserve">, </w:t>
      </w:r>
      <w:r w:rsidR="005B323E" w:rsidRPr="005B323E">
        <w:t>as a proxy for the estimated appropriation of future resource rents</w:t>
      </w:r>
      <w:r w:rsidR="00005345">
        <w:t>.</w:t>
      </w:r>
      <w:r w:rsidR="005B323E" w:rsidRPr="005B323E">
        <w:t xml:space="preserve"> </w:t>
      </w:r>
      <w:r w:rsidR="00005345">
        <w:t>These</w:t>
      </w:r>
      <w:r w:rsidR="0067219F">
        <w:t xml:space="preserve"> </w:t>
      </w:r>
      <w:r w:rsidR="005B323E" w:rsidRPr="005B323E">
        <w:t>are used to allocate the share of the resource</w:t>
      </w:r>
      <w:r w:rsidR="001966F3">
        <w:t xml:space="preserve"> value</w:t>
      </w:r>
      <w:r w:rsidR="005B323E" w:rsidRPr="005B323E">
        <w:t xml:space="preserve"> held by the lessor</w:t>
      </w:r>
      <w:r w:rsidR="00FA5B24">
        <w:t>,</w:t>
      </w:r>
      <w:r w:rsidR="005B323E" w:rsidRPr="005B323E">
        <w:t xml:space="preserve"> which is removed from the total amount that has been attributed to the </w:t>
      </w:r>
      <w:r w:rsidR="005B323E" w:rsidRPr="005B323E">
        <w:lastRenderedPageBreak/>
        <w:t>extractor.</w:t>
      </w:r>
      <w:r w:rsidR="00FB7870">
        <w:t xml:space="preserve"> </w:t>
      </w:r>
      <w:r w:rsidR="00FA5B24">
        <w:t>The r</w:t>
      </w:r>
      <w:r w:rsidR="00F345EE">
        <w:t xml:space="preserve">oyalty data used in the accounts are </w:t>
      </w:r>
      <w:r w:rsidR="000635CA">
        <w:t>aggregated</w:t>
      </w:r>
      <w:r w:rsidR="00F345EE">
        <w:t xml:space="preserve"> data based on accrual accounting standards and should reflect royalties as received when production occurs.</w:t>
      </w:r>
      <w:r w:rsidR="00311236">
        <w:t xml:space="preserve"> In Canada, a</w:t>
      </w:r>
      <w:r w:rsidR="00311236" w:rsidRPr="004B0314">
        <w:t>ll provinces and territories impose mining taxes and/or mining royalties on mining operations in their jurisdictions</w:t>
      </w:r>
      <w:r w:rsidR="00311236">
        <w:t>.</w:t>
      </w:r>
    </w:p>
    <w:p w14:paraId="7B7321B1" w14:textId="60211F83" w:rsidR="00AB646B" w:rsidRDefault="00AB646B" w:rsidP="00416E79">
      <w:pPr>
        <w:spacing w:afterLines="40" w:after="96" w:line="240" w:lineRule="auto"/>
      </w:pPr>
      <w:r w:rsidRPr="00097FC1">
        <w:t>While the current royalty data support the estimation of certain ownership shares for aggregate subsoil and timber assets, they lack the commodity-level detail required to allocate the value of individual natural resources to their respective economic owner sectors (i.e.</w:t>
      </w:r>
      <w:r w:rsidR="00D020F2">
        <w:t>,</w:t>
      </w:r>
      <w:r w:rsidRPr="00097FC1">
        <w:t xml:space="preserve"> federal governments, provincial and territorial governments, private non-financial corporations, Indigenous general government).</w:t>
      </w:r>
      <w:r>
        <w:t xml:space="preserve"> Additional limitations inherent in the royalty data include</w:t>
      </w:r>
      <w:r w:rsidR="000F6B14">
        <w:t>:</w:t>
      </w:r>
      <w:r>
        <w:t xml:space="preserve"> limited</w:t>
      </w:r>
      <w:r w:rsidRPr="0066023D">
        <w:t xml:space="preserve"> </w:t>
      </w:r>
      <w:r>
        <w:t xml:space="preserve">quarterly data, </w:t>
      </w:r>
      <w:r w:rsidRPr="0066023D">
        <w:t xml:space="preserve">inconsistent reporting, </w:t>
      </w:r>
      <w:r>
        <w:t>differences in how royalties and rent are defined and recorded</w:t>
      </w:r>
      <w:r w:rsidRPr="0066023D">
        <w:t>, and</w:t>
      </w:r>
      <w:r>
        <w:t>,</w:t>
      </w:r>
      <w:r w:rsidRPr="0066023D">
        <w:t xml:space="preserve"> mo</w:t>
      </w:r>
      <w:r>
        <w:t xml:space="preserve">re specifically in the quarterly accounts, time lags in reporting </w:t>
      </w:r>
      <w:r w:rsidRPr="002E2682">
        <w:t xml:space="preserve">leading to mismatches in the sectoring of the resource asset’s </w:t>
      </w:r>
      <w:r w:rsidR="00D020F2">
        <w:t>n</w:t>
      </w:r>
      <w:r>
        <w:t xml:space="preserve">et </w:t>
      </w:r>
      <w:r w:rsidR="00D020F2">
        <w:t>p</w:t>
      </w:r>
      <w:r>
        <w:t xml:space="preserve">resent </w:t>
      </w:r>
      <w:r w:rsidR="00D020F2">
        <w:t>v</w:t>
      </w:r>
      <w:r>
        <w:t>alue (NPV) (See Appendix A for more information on the definition of NPV).</w:t>
      </w:r>
    </w:p>
    <w:p w14:paraId="560BE4C8" w14:textId="3E063DE0" w:rsidR="00DA7917" w:rsidRDefault="000A3F4F" w:rsidP="000A3F4F">
      <w:pPr>
        <w:spacing w:afterLines="40" w:after="96" w:line="240" w:lineRule="auto"/>
      </w:pPr>
      <w:r w:rsidRPr="0066023D">
        <w:t xml:space="preserve">Due to </w:t>
      </w:r>
      <w:r w:rsidR="00AB646B">
        <w:t>these challenges</w:t>
      </w:r>
      <w:r w:rsidR="004341BE">
        <w:t>,</w:t>
      </w:r>
      <w:r w:rsidR="00FB7870">
        <w:t xml:space="preserve"> </w:t>
      </w:r>
      <w:r w:rsidRPr="008F2FB9">
        <w:t>this project explore</w:t>
      </w:r>
      <w:r w:rsidR="00DA7917">
        <w:t>d</w:t>
      </w:r>
      <w:r w:rsidRPr="008F2FB9">
        <w:t xml:space="preserve"> </w:t>
      </w:r>
      <w:r w:rsidR="00F06138">
        <w:t xml:space="preserve">two </w:t>
      </w:r>
      <w:r w:rsidR="00DA7917">
        <w:t xml:space="preserve">approaches </w:t>
      </w:r>
      <w:r w:rsidR="00AB646B">
        <w:t>to better estimate the</w:t>
      </w:r>
      <w:r w:rsidR="00DA7917">
        <w:t xml:space="preserve"> government share of natural resource asset values</w:t>
      </w:r>
      <w:r w:rsidR="004B2908">
        <w:t xml:space="preserve">. </w:t>
      </w:r>
      <w:r w:rsidR="00DA7917" w:rsidRPr="00DA7917">
        <w:t>The preferred approach was to estimat</w:t>
      </w:r>
      <w:r w:rsidR="00DA7917">
        <w:t>e</w:t>
      </w:r>
      <w:r w:rsidR="00DA7917" w:rsidRPr="00DA7917">
        <w:t xml:space="preserve"> potential royalty payments by applying provincial royalty regimes to observed extraction volumes and market prices</w:t>
      </w:r>
      <w:r w:rsidR="00DA7917">
        <w:t xml:space="preserve"> for each commodity. </w:t>
      </w:r>
    </w:p>
    <w:p w14:paraId="315DB800" w14:textId="5C43BF21" w:rsidR="000A3F4F" w:rsidRDefault="000635CA" w:rsidP="000A3F4F">
      <w:pPr>
        <w:spacing w:afterLines="40" w:after="96" w:line="240" w:lineRule="auto"/>
      </w:pPr>
      <w:r w:rsidRPr="000635CA">
        <w:t>While this method allow</w:t>
      </w:r>
      <w:r w:rsidR="00233B9F">
        <w:t>s</w:t>
      </w:r>
      <w:r w:rsidRPr="000635CA">
        <w:t xml:space="preserve"> for establishing sectored estimates at the individual asset level, it introduced a significant challenge:</w:t>
      </w:r>
      <w:r>
        <w:t xml:space="preserve"> </w:t>
      </w:r>
      <w:r w:rsidR="000A3F4F" w:rsidRPr="0066023D">
        <w:t>each</w:t>
      </w:r>
      <w:r w:rsidR="00405224">
        <w:t xml:space="preserve"> provincial</w:t>
      </w:r>
      <w:r w:rsidR="00872DD7">
        <w:t xml:space="preserve"> </w:t>
      </w:r>
      <w:r w:rsidR="00AC3867">
        <w:t>government</w:t>
      </w:r>
      <w:r w:rsidR="000A3F4F" w:rsidRPr="0066023D">
        <w:t xml:space="preserve"> applies </w:t>
      </w:r>
      <w:r w:rsidR="00405224">
        <w:t>its own</w:t>
      </w:r>
      <w:r w:rsidR="00405224" w:rsidRPr="0066023D">
        <w:t xml:space="preserve"> </w:t>
      </w:r>
      <w:r w:rsidR="000A3F4F" w:rsidRPr="0066023D">
        <w:t>royalty structures</w:t>
      </w:r>
      <w:r w:rsidR="00405224">
        <w:t xml:space="preserve"> to a given </w:t>
      </w:r>
      <w:r w:rsidR="000A3F4F" w:rsidRPr="0066023D">
        <w:t>commodit</w:t>
      </w:r>
      <w:r w:rsidR="00405224">
        <w:t>y</w:t>
      </w:r>
      <w:r w:rsidR="00D020F2">
        <w:t>,</w:t>
      </w:r>
      <w:r w:rsidR="0032149C">
        <w:t xml:space="preserve"> </w:t>
      </w:r>
      <w:r w:rsidR="000A3F4F" w:rsidRPr="0066023D">
        <w:t>with wide variation</w:t>
      </w:r>
      <w:r w:rsidR="00AD7670">
        <w:t>s</w:t>
      </w:r>
      <w:r w:rsidR="000A3F4F" w:rsidRPr="0066023D">
        <w:t xml:space="preserve"> in rates, formulas,</w:t>
      </w:r>
      <w:r w:rsidR="00416E79">
        <w:t xml:space="preserve"> </w:t>
      </w:r>
      <w:r w:rsidR="00416E79" w:rsidRPr="0066023D">
        <w:t>exemptions</w:t>
      </w:r>
      <w:r w:rsidR="007C64EC">
        <w:t>,</w:t>
      </w:r>
      <w:r w:rsidR="00416E79">
        <w:rPr>
          <w:rStyle w:val="FootnoteReference"/>
        </w:rPr>
        <w:footnoteReference w:id="2"/>
      </w:r>
      <w:r w:rsidR="00416E79" w:rsidRPr="0066023D">
        <w:t xml:space="preserve"> </w:t>
      </w:r>
      <w:r w:rsidR="000A3F4F" w:rsidRPr="0066023D">
        <w:t>and tax treatments.</w:t>
      </w:r>
      <w:r w:rsidR="000A3F4F">
        <w:t xml:space="preserve"> </w:t>
      </w:r>
      <w:r w:rsidR="00405224">
        <w:t>This means that the same commodity</w:t>
      </w:r>
      <w:r w:rsidR="00CF0803">
        <w:t>,</w:t>
      </w:r>
      <w:r w:rsidR="00405224">
        <w:t xml:space="preserve"> </w:t>
      </w:r>
      <w:r w:rsidR="00CF0803">
        <w:t>such as gold,</w:t>
      </w:r>
      <w:r w:rsidR="00405224">
        <w:t xml:space="preserve"> is subject to different royalty regimes depending on the province of extraction.</w:t>
      </w:r>
    </w:p>
    <w:p w14:paraId="4F6E764D" w14:textId="14229B4A" w:rsidR="00DA7917" w:rsidRDefault="00DA7917" w:rsidP="000A3F4F">
      <w:pPr>
        <w:spacing w:afterLines="40" w:after="96" w:line="240" w:lineRule="auto"/>
      </w:pPr>
      <w:r>
        <w:t xml:space="preserve">In cases where the complexity of </w:t>
      </w:r>
      <w:r w:rsidR="00F36DD3">
        <w:t xml:space="preserve">provincial </w:t>
      </w:r>
      <w:r>
        <w:t xml:space="preserve">royalty regimes </w:t>
      </w:r>
      <w:r w:rsidR="00F36DD3">
        <w:t>made the estimation of royalty values impractical</w:t>
      </w:r>
      <w:r>
        <w:t xml:space="preserve"> </w:t>
      </w:r>
      <w:r w:rsidR="00F36DD3">
        <w:t xml:space="preserve">(as was the case for crude oil and natural gas), </w:t>
      </w:r>
      <w:r w:rsidR="00F06138">
        <w:t xml:space="preserve">an </w:t>
      </w:r>
      <w:r w:rsidR="00F36DD3">
        <w:t>alternate approach w</w:t>
      </w:r>
      <w:r w:rsidR="00F06138">
        <w:t>as</w:t>
      </w:r>
      <w:r w:rsidR="00F36DD3">
        <w:t xml:space="preserve"> considered. </w:t>
      </w:r>
      <w:r w:rsidR="009278E2" w:rsidRPr="009278E2">
        <w:t>Th</w:t>
      </w:r>
      <w:r w:rsidR="00F06138">
        <w:t>is</w:t>
      </w:r>
      <w:r w:rsidR="009278E2" w:rsidRPr="009278E2">
        <w:t xml:space="preserve"> included the use of observed royalty payments from reliable published sources</w:t>
      </w:r>
      <w:r w:rsidR="00F06138">
        <w:t>,</w:t>
      </w:r>
      <w:r w:rsidR="009278E2" w:rsidRPr="009278E2">
        <w:t xml:space="preserve"> when they provided sufficiently disaggregated royalty data at the individual commodity level.</w:t>
      </w:r>
      <w:r w:rsidR="00F06138">
        <w:t xml:space="preserve"> </w:t>
      </w:r>
      <w:r w:rsidR="00097FC1">
        <w:t>While</w:t>
      </w:r>
      <w:r w:rsidR="00F06138">
        <w:t xml:space="preserve"> this approach is similar to the current methodology, the emphasis in this case would be disaggregated royalty data, as well as data confrontation when multiple sources are available for the same resource.</w:t>
      </w:r>
    </w:p>
    <w:p w14:paraId="2A08DA82" w14:textId="5B274C86" w:rsidR="000A3F4F" w:rsidRDefault="000A3F4F" w:rsidP="000A3F4F">
      <w:pPr>
        <w:spacing w:afterLines="40" w:after="96" w:line="240" w:lineRule="auto"/>
      </w:pPr>
      <w:r w:rsidRPr="009B2D4A">
        <w:t>This discussion paper present</w:t>
      </w:r>
      <w:r w:rsidR="00DE4566">
        <w:t>s</w:t>
      </w:r>
      <w:r w:rsidRPr="009B2D4A">
        <w:t xml:space="preserve"> the findings of this work, focusing on Canada’s largest </w:t>
      </w:r>
      <w:r w:rsidR="00D020F2">
        <w:t xml:space="preserve">individual </w:t>
      </w:r>
      <w:r w:rsidRPr="009B2D4A">
        <w:t>natural resource</w:t>
      </w:r>
      <w:r w:rsidR="00D020F2">
        <w:t>s</w:t>
      </w:r>
      <w:r w:rsidRPr="009B2D4A">
        <w:t xml:space="preserve"> </w:t>
      </w:r>
      <w:r w:rsidR="00AD7670" w:rsidRPr="009B2D4A">
        <w:t>contribut</w:t>
      </w:r>
      <w:r w:rsidR="00D020F2">
        <w:t>ing</w:t>
      </w:r>
      <w:r w:rsidR="001F09B0">
        <w:t xml:space="preserve"> </w:t>
      </w:r>
      <w:r w:rsidR="000240D3">
        <w:t>to total subsoil</w:t>
      </w:r>
      <w:bookmarkStart w:id="1" w:name="_Ref233104339"/>
      <w:r w:rsidR="00D26A8B">
        <w:rPr>
          <w:rStyle w:val="FootnoteReference"/>
        </w:rPr>
        <w:footnoteReference w:id="3"/>
      </w:r>
      <w:bookmarkEnd w:id="1"/>
      <w:r w:rsidR="000240D3">
        <w:t xml:space="preserve"> </w:t>
      </w:r>
      <w:r w:rsidR="00A9576D">
        <w:t>value</w:t>
      </w:r>
      <w:r w:rsidR="00C47A59">
        <w:t>,</w:t>
      </w:r>
      <w:r w:rsidR="009A3B29">
        <w:t xml:space="preserve"> which includes energy and mineral commodities</w:t>
      </w:r>
      <w:r w:rsidRPr="009B2D4A">
        <w:t xml:space="preserve">. </w:t>
      </w:r>
      <w:r w:rsidR="001F09B0">
        <w:t>This paper</w:t>
      </w:r>
      <w:r w:rsidRPr="009B2D4A">
        <w:t xml:space="preserve"> provides an overview </w:t>
      </w:r>
      <w:r w:rsidR="005F6C76">
        <w:t xml:space="preserve">of the methods and results of attempting to derive commodity-level royalty estimates for </w:t>
      </w:r>
      <w:r w:rsidR="00ED2AB9">
        <w:t xml:space="preserve">crude bitumen, potash, gold, crude oil and natural </w:t>
      </w:r>
      <w:r w:rsidR="00C36399">
        <w:t>gas</w:t>
      </w:r>
      <w:r w:rsidR="00D020F2">
        <w:t>;</w:t>
      </w:r>
      <w:r w:rsidRPr="009B2D4A">
        <w:t xml:space="preserve"> highlights the key issues encountered</w:t>
      </w:r>
      <w:r w:rsidR="00D020F2">
        <w:t>;</w:t>
      </w:r>
      <w:r w:rsidRPr="009B2D4A">
        <w:t xml:space="preserve"> and concludes with questions that must be addressed to support </w:t>
      </w:r>
      <w:r w:rsidR="00F24475">
        <w:t xml:space="preserve">the </w:t>
      </w:r>
      <w:r w:rsidRPr="009B2D4A">
        <w:t>consisten</w:t>
      </w:r>
      <w:r w:rsidR="00F24475">
        <w:t>t and</w:t>
      </w:r>
      <w:r w:rsidRPr="009B2D4A">
        <w:t xml:space="preserve"> accurate </w:t>
      </w:r>
      <w:r w:rsidR="00F24475">
        <w:t xml:space="preserve">application of the SNA split asset approach for </w:t>
      </w:r>
      <w:r w:rsidRPr="009B2D4A">
        <w:t>natural resource assets across the country.</w:t>
      </w:r>
      <w:r w:rsidR="004341BE">
        <w:t xml:space="preserve"> </w:t>
      </w:r>
    </w:p>
    <w:p w14:paraId="63FA387A" w14:textId="683D5F73" w:rsidR="00273631" w:rsidRDefault="00273631" w:rsidP="00273631">
      <w:pPr>
        <w:spacing w:afterLines="40" w:after="96" w:line="240" w:lineRule="auto"/>
      </w:pPr>
      <w:r>
        <w:t xml:space="preserve">We underscore that the purpose of this paper is to </w:t>
      </w:r>
      <w:r w:rsidR="000947DA" w:rsidRPr="000947DA">
        <w:t>describe alternative methods for improving sectoring estimates and to discuss their limitations</w:t>
      </w:r>
      <w:r w:rsidR="000947DA" w:rsidRPr="000947DA" w:rsidDel="000947DA">
        <w:t xml:space="preserve"> </w:t>
      </w:r>
      <w:r>
        <w:t>rather than</w:t>
      </w:r>
      <w:r w:rsidR="000947DA">
        <w:t xml:space="preserve"> to produce</w:t>
      </w:r>
      <w:r>
        <w:t xml:space="preserve"> official statistics. This work represents an early experimental stage within a broader, multi-step process that</w:t>
      </w:r>
      <w:r w:rsidR="00AA16F4">
        <w:t xml:space="preserve"> could</w:t>
      </w:r>
      <w:r>
        <w:t xml:space="preserve"> ultimately lead to </w:t>
      </w:r>
      <w:r w:rsidR="00BF6764">
        <w:t>improvements</w:t>
      </w:r>
      <w:r>
        <w:t xml:space="preserve"> of </w:t>
      </w:r>
      <w:r w:rsidR="00BF6764">
        <w:t xml:space="preserve">existing </w:t>
      </w:r>
      <w:r w:rsidR="00A9576D">
        <w:t xml:space="preserve">official </w:t>
      </w:r>
      <w:r>
        <w:t>statistics. Developing robust and reliable outputs for use by policymakers, industry stakeholders and the public first requires a clear understanding of:</w:t>
      </w:r>
    </w:p>
    <w:p w14:paraId="1B52997F" w14:textId="77777777" w:rsidR="00273631" w:rsidRDefault="00273631" w:rsidP="00093889">
      <w:pPr>
        <w:pStyle w:val="ListParagraph"/>
        <w:numPr>
          <w:ilvl w:val="0"/>
          <w:numId w:val="3"/>
        </w:numPr>
        <w:spacing w:afterLines="40" w:after="96" w:line="240" w:lineRule="auto"/>
      </w:pPr>
      <w:r>
        <w:t>what can realistically be achieved using existing data and resources;</w:t>
      </w:r>
    </w:p>
    <w:p w14:paraId="4AD74C44" w14:textId="77777777" w:rsidR="00273631" w:rsidRDefault="00273631" w:rsidP="00093889">
      <w:pPr>
        <w:pStyle w:val="ListParagraph"/>
        <w:numPr>
          <w:ilvl w:val="0"/>
          <w:numId w:val="3"/>
        </w:numPr>
        <w:spacing w:afterLines="40" w:after="96" w:line="240" w:lineRule="auto"/>
      </w:pPr>
      <w:r>
        <w:t>which data gaps need to be addressed; and</w:t>
      </w:r>
    </w:p>
    <w:p w14:paraId="4995C37C" w14:textId="283BAFFA" w:rsidR="00273631" w:rsidRDefault="00273631" w:rsidP="00093889">
      <w:pPr>
        <w:pStyle w:val="ListParagraph"/>
        <w:numPr>
          <w:ilvl w:val="0"/>
          <w:numId w:val="3"/>
        </w:numPr>
        <w:spacing w:afterLines="40" w:after="96" w:line="240" w:lineRule="auto"/>
      </w:pPr>
      <w:r>
        <w:t>what methodological challenges must be resolved.</w:t>
      </w:r>
    </w:p>
    <w:p w14:paraId="6F890F07" w14:textId="124319ED" w:rsidR="000A3F4F" w:rsidRDefault="00273631" w:rsidP="000A3F4F">
      <w:pPr>
        <w:spacing w:afterLines="40" w:after="96" w:line="240" w:lineRule="auto"/>
      </w:pPr>
      <w:r>
        <w:lastRenderedPageBreak/>
        <w:t xml:space="preserve">Accordingly, the estimates presented here should be viewed as experimental and primarily intended to assess the suitability of available data sources and analytical approaches. In addition, some of the methodological challenges encountered during this pilot phase may offer useful insights for others—particularly </w:t>
      </w:r>
      <w:r w:rsidR="000C51F7">
        <w:t>considering</w:t>
      </w:r>
      <w:r>
        <w:t xml:space="preserve"> ongoing international efforts </w:t>
      </w:r>
      <w:r w:rsidR="0064127B">
        <w:t>for the implementation of the 2025 SNA</w:t>
      </w:r>
      <w:r>
        <w:t>. These include topics such as sectoring under a split-asset approach, as well as the treatment of negative resource rents and depletion in the forthcoming standard and its supporting guidance.</w:t>
      </w:r>
    </w:p>
    <w:p w14:paraId="7002B14A" w14:textId="77777777" w:rsidR="002035D5" w:rsidRDefault="002035D5" w:rsidP="000A3F4F">
      <w:pPr>
        <w:spacing w:afterLines="40" w:after="96" w:line="240" w:lineRule="auto"/>
      </w:pPr>
    </w:p>
    <w:p w14:paraId="1504D750" w14:textId="3E30177E" w:rsidR="003D0F54" w:rsidRPr="001543F9" w:rsidRDefault="00483B14" w:rsidP="002035D5">
      <w:pPr>
        <w:pStyle w:val="Heading3"/>
      </w:pPr>
      <w:r>
        <w:t xml:space="preserve">1.1 </w:t>
      </w:r>
      <w:r w:rsidR="003D0F54" w:rsidRPr="001543F9">
        <w:t>Available data sources</w:t>
      </w:r>
    </w:p>
    <w:p w14:paraId="25CC54F9" w14:textId="118302A8" w:rsidR="00D4457B" w:rsidRPr="000B7C1C" w:rsidRDefault="00D4457B" w:rsidP="000A3F4F">
      <w:pPr>
        <w:spacing w:afterLines="40" w:after="96" w:line="240" w:lineRule="auto"/>
      </w:pPr>
      <w:r w:rsidRPr="000B7C1C">
        <w:t xml:space="preserve">Statistics Canada currently publishes royalty data through several survey programs, each with varying methodologies and limitations. </w:t>
      </w:r>
      <w:r w:rsidR="00EA0A86">
        <w:t xml:space="preserve">The </w:t>
      </w:r>
      <w:r w:rsidRPr="000B7C1C">
        <w:t>royalty</w:t>
      </w:r>
      <w:r w:rsidR="00994FF0">
        <w:t xml:space="preserve"> </w:t>
      </w:r>
      <w:r w:rsidR="008C52DE">
        <w:t>information</w:t>
      </w:r>
      <w:r w:rsidR="009278E2">
        <w:t xml:space="preserve"> currently being used for sectoring in the NBSA</w:t>
      </w:r>
      <w:r w:rsidR="008C52DE">
        <w:t xml:space="preserve"> </w:t>
      </w:r>
      <w:r w:rsidR="00E417EB" w:rsidRPr="000B7C1C">
        <w:t>is</w:t>
      </w:r>
      <w:r w:rsidRPr="000B7C1C">
        <w:t xml:space="preserve"> </w:t>
      </w:r>
      <w:r w:rsidR="00E417EB">
        <w:t xml:space="preserve">sourced </w:t>
      </w:r>
      <w:r w:rsidRPr="000B7C1C">
        <w:t>from</w:t>
      </w:r>
      <w:r w:rsidR="00994FF0">
        <w:t xml:space="preserve"> the</w:t>
      </w:r>
      <w:r w:rsidRPr="000B7C1C">
        <w:t xml:space="preserve"> </w:t>
      </w:r>
      <w:r w:rsidR="002627D2" w:rsidRPr="00FB7870">
        <w:t>government finance statistics</w:t>
      </w:r>
      <w:r w:rsidR="00994FF0">
        <w:t xml:space="preserve"> (GFS) program</w:t>
      </w:r>
      <w:r w:rsidR="00E51963">
        <w:t>,</w:t>
      </w:r>
      <w:r w:rsidR="002627D2">
        <w:rPr>
          <w:rStyle w:val="FootnoteReference"/>
        </w:rPr>
        <w:footnoteReference w:id="4"/>
      </w:r>
      <w:r w:rsidR="00994FF0">
        <w:t xml:space="preserve"> </w:t>
      </w:r>
      <w:r w:rsidR="008C52DE">
        <w:t xml:space="preserve">which </w:t>
      </w:r>
      <w:r w:rsidR="00994FF0">
        <w:t>provides</w:t>
      </w:r>
      <w:r w:rsidR="00865B71">
        <w:t>, among other things,</w:t>
      </w:r>
      <w:r w:rsidR="00994FF0">
        <w:t xml:space="preserve"> information on energy, mineral, water and timber</w:t>
      </w:r>
      <w:r w:rsidRPr="000B7C1C">
        <w:t xml:space="preserve"> </w:t>
      </w:r>
      <w:r w:rsidR="000423A9" w:rsidRPr="000B7C1C">
        <w:t>royalties.</w:t>
      </w:r>
      <w:r w:rsidRPr="000B7C1C">
        <w:t xml:space="preserve"> </w:t>
      </w:r>
      <w:r w:rsidR="008C52DE">
        <w:t xml:space="preserve">The program </w:t>
      </w:r>
      <w:r w:rsidRPr="000B7C1C">
        <w:t>restricts royalty payments</w:t>
      </w:r>
      <w:r w:rsidR="00443607">
        <w:t xml:space="preserve"> that are</w:t>
      </w:r>
      <w:r w:rsidR="008C52DE">
        <w:t xml:space="preserve"> categorized as rent</w:t>
      </w:r>
      <w:r w:rsidRPr="000B7C1C">
        <w:t xml:space="preserve"> to income</w:t>
      </w:r>
      <w:r w:rsidR="00443607">
        <w:t xml:space="preserve"> payments</w:t>
      </w:r>
      <w:r w:rsidRPr="000B7C1C">
        <w:t xml:space="preserve"> </w:t>
      </w:r>
      <w:r w:rsidR="00D01BA0">
        <w:t xml:space="preserve">related to access </w:t>
      </w:r>
      <w:r w:rsidR="0084357B">
        <w:t xml:space="preserve">or </w:t>
      </w:r>
      <w:r w:rsidR="00D01BA0">
        <w:t>extraction of a resource</w:t>
      </w:r>
      <w:r w:rsidR="00E51963">
        <w:t>,</w:t>
      </w:r>
      <w:r w:rsidR="00443607" w:rsidRPr="000B7C1C" w:rsidDel="00443607">
        <w:t xml:space="preserve"> </w:t>
      </w:r>
      <w:r w:rsidR="000D2759">
        <w:t xml:space="preserve">refer to Appendix A </w:t>
      </w:r>
      <w:r w:rsidR="002C7A4C">
        <w:t>for more information</w:t>
      </w:r>
      <w:r w:rsidRPr="000B7C1C">
        <w:t xml:space="preserve">. </w:t>
      </w:r>
      <w:r w:rsidR="00DE4566">
        <w:t>As such, the GFS-based coverage of rent</w:t>
      </w:r>
      <w:r w:rsidRPr="000B7C1C">
        <w:t xml:space="preserve"> can vary significantly between provinces</w:t>
      </w:r>
      <w:r w:rsidR="00DE4566">
        <w:t xml:space="preserve"> and territories</w:t>
      </w:r>
      <w:r>
        <w:t>.</w:t>
      </w:r>
    </w:p>
    <w:p w14:paraId="5EFDD9AA" w14:textId="24DB398A" w:rsidR="00D4457B" w:rsidRDefault="007F6B8C" w:rsidP="000A3F4F">
      <w:pPr>
        <w:spacing w:afterLines="40" w:after="96" w:line="240" w:lineRule="auto"/>
      </w:pPr>
      <w:r>
        <w:t>Statistics Canada surveys covering mineral mining and oil and gas activity</w:t>
      </w:r>
      <w:r w:rsidRPr="007F6B8C">
        <w:t xml:space="preserve">, </w:t>
      </w:r>
      <w:r>
        <w:t>specifically</w:t>
      </w:r>
      <w:r w:rsidRPr="007F6B8C">
        <w:t xml:space="preserve"> the Annual Mineral and Metal Production Survey (AMNP) and the Annual Oil and Gas Extraction Survey (OGEX</w:t>
      </w:r>
      <w:r>
        <w:t>)</w:t>
      </w:r>
      <w:r w:rsidR="00865B71">
        <w:t xml:space="preserve"> </w:t>
      </w:r>
      <w:r w:rsidR="009278E2">
        <w:t xml:space="preserve">also </w:t>
      </w:r>
      <w:r w:rsidR="00E51963">
        <w:t xml:space="preserve">include </w:t>
      </w:r>
      <w:r w:rsidR="008C52DE">
        <w:t>royalty related questions.</w:t>
      </w:r>
      <w:r w:rsidR="0090735E">
        <w:t xml:space="preserve"> For the </w:t>
      </w:r>
      <w:r w:rsidR="007C64EC">
        <w:t>o</w:t>
      </w:r>
      <w:r w:rsidR="0090735E">
        <w:t xml:space="preserve">il and gas survey, there is </w:t>
      </w:r>
      <w:r w:rsidR="0090735E" w:rsidRPr="000B7C1C">
        <w:t>an</w:t>
      </w:r>
      <w:r w:rsidR="0090735E">
        <w:t xml:space="preserve"> additional</w:t>
      </w:r>
      <w:r w:rsidR="0090735E" w:rsidRPr="000B7C1C">
        <w:t xml:space="preserve"> internal royalty report detailing distinctions such as Crown royalties, freehold</w:t>
      </w:r>
      <w:r w:rsidR="0090735E">
        <w:rPr>
          <w:rStyle w:val="FootnoteReference"/>
        </w:rPr>
        <w:footnoteReference w:id="5"/>
      </w:r>
      <w:r w:rsidR="0090735E" w:rsidRPr="000B7C1C">
        <w:t xml:space="preserve"> </w:t>
      </w:r>
      <w:r w:rsidR="0090735E">
        <w:t xml:space="preserve">(private) </w:t>
      </w:r>
      <w:r w:rsidR="0090735E" w:rsidRPr="000B7C1C">
        <w:t>royalties,</w:t>
      </w:r>
      <w:r w:rsidR="0090735E">
        <w:t xml:space="preserve"> First Nations</w:t>
      </w:r>
      <w:r w:rsidR="003374F7">
        <w:t xml:space="preserve"> royalties</w:t>
      </w:r>
      <w:r w:rsidR="0090735E">
        <w:t xml:space="preserve"> and federal </w:t>
      </w:r>
      <w:r w:rsidR="003374F7">
        <w:t xml:space="preserve">royalties </w:t>
      </w:r>
      <w:r w:rsidR="0090735E">
        <w:t>(separate from Crown).</w:t>
      </w:r>
      <w:r w:rsidR="00E53093">
        <w:t xml:space="preserve"> </w:t>
      </w:r>
    </w:p>
    <w:p w14:paraId="73C7A9DC" w14:textId="038BCEB9" w:rsidR="00881B18" w:rsidRPr="000B7C1C" w:rsidRDefault="00881B18" w:rsidP="000A3F4F">
      <w:pPr>
        <w:spacing w:afterLines="40" w:after="96" w:line="240" w:lineRule="auto"/>
      </w:pPr>
      <w:r>
        <w:t xml:space="preserve">For the timber asset, supplementary timber royalty data is sometimes available from Canadian Forest </w:t>
      </w:r>
      <w:r w:rsidR="003374F7">
        <w:t>S</w:t>
      </w:r>
      <w:r>
        <w:t xml:space="preserve">ervices (CFS) and Statistics Canada’s Manufacturing Survey (NDM Table 16-10-0047). CFS provides stumpage fee information, which is used as a royalty proxy. The different data sources provide useful confrontation analysis. </w:t>
      </w:r>
    </w:p>
    <w:p w14:paraId="24A202FF" w14:textId="663F344F" w:rsidR="00D4457B" w:rsidRDefault="00D4457B" w:rsidP="000A3F4F">
      <w:pPr>
        <w:spacing w:afterLines="40" w:after="96" w:line="240" w:lineRule="auto"/>
      </w:pPr>
      <w:r w:rsidRPr="000B7C1C">
        <w:t xml:space="preserve">The Canadian Association of Petroleum Producers (CAPP) provides </w:t>
      </w:r>
      <w:r w:rsidR="00F1268A">
        <w:t>royalties</w:t>
      </w:r>
      <w:r w:rsidR="00F1268A" w:rsidRPr="000B7C1C">
        <w:t xml:space="preserve"> </w:t>
      </w:r>
      <w:r w:rsidRPr="000B7C1C">
        <w:t>for energy resources</w:t>
      </w:r>
      <w:r w:rsidR="000019FB">
        <w:t xml:space="preserve"> for each province</w:t>
      </w:r>
      <w:r w:rsidR="001004B0">
        <w:t xml:space="preserve"> and territory</w:t>
      </w:r>
      <w:r w:rsidRPr="000B7C1C">
        <w:t xml:space="preserve">, while company-level reporting is accessible through the Extractive Sector Transparency Measures Act (ESTMA) data </w:t>
      </w:r>
      <w:r w:rsidR="000A37A8" w:rsidRPr="000B7C1C">
        <w:t>portal</w:t>
      </w:r>
      <w:r w:rsidR="003374F7">
        <w:t>.</w:t>
      </w:r>
      <w:r w:rsidR="00DE4566">
        <w:rPr>
          <w:rStyle w:val="FootnoteReference"/>
        </w:rPr>
        <w:footnoteReference w:id="6"/>
      </w:r>
      <w:r w:rsidR="000019FB">
        <w:t xml:space="preserve"> These company level reports show payment of taxes, fees and royalties to specific governments as well as </w:t>
      </w:r>
      <w:r w:rsidR="00905972">
        <w:t>Indigenous</w:t>
      </w:r>
      <w:r w:rsidR="000019FB">
        <w:t xml:space="preserve"> groups.</w:t>
      </w:r>
    </w:p>
    <w:p w14:paraId="5076AA33" w14:textId="7AA658A4" w:rsidR="003D0F54" w:rsidRPr="001543F9" w:rsidRDefault="00191C71" w:rsidP="00D309C8">
      <w:pPr>
        <w:pStyle w:val="Heading3"/>
        <w:rPr>
          <w:i/>
          <w:iCs/>
        </w:rPr>
      </w:pPr>
      <w:r>
        <w:rPr>
          <w:rStyle w:val="Heading2Char"/>
        </w:rPr>
        <w:t xml:space="preserve">1.2 </w:t>
      </w:r>
      <w:r w:rsidR="003D0F54" w:rsidRPr="00810B30">
        <w:rPr>
          <w:rStyle w:val="Heading2Char"/>
        </w:rPr>
        <w:t xml:space="preserve">Current </w:t>
      </w:r>
      <w:r w:rsidR="001128A0" w:rsidRPr="00810B30">
        <w:rPr>
          <w:rStyle w:val="Heading2Char"/>
        </w:rPr>
        <w:t>methodology for sectoring</w:t>
      </w:r>
    </w:p>
    <w:p w14:paraId="50A813B7" w14:textId="5CDDC45F" w:rsidR="00881B18" w:rsidRDefault="005032B9" w:rsidP="000A3F4F">
      <w:pPr>
        <w:spacing w:afterLines="40" w:after="96" w:line="240" w:lineRule="auto"/>
      </w:pPr>
      <w:r>
        <w:t xml:space="preserve">The quarterly estimates </w:t>
      </w:r>
      <w:r w:rsidR="00382F0C">
        <w:t xml:space="preserve">published in the </w:t>
      </w:r>
      <w:r w:rsidR="00237612">
        <w:t>National Balance Sheet</w:t>
      </w:r>
      <w:r w:rsidR="003374F7">
        <w:t>,</w:t>
      </w:r>
      <w:r w:rsidR="00237612">
        <w:rPr>
          <w:rStyle w:val="FootnoteReference"/>
        </w:rPr>
        <w:footnoteReference w:id="7"/>
      </w:r>
      <w:r w:rsidR="00237612">
        <w:t xml:space="preserve"> </w:t>
      </w:r>
      <w:r w:rsidR="00382F0C">
        <w:t xml:space="preserve">use </w:t>
      </w:r>
      <w:r w:rsidR="00237612">
        <w:t xml:space="preserve">total </w:t>
      </w:r>
      <w:r w:rsidR="00382F0C">
        <w:t>subsoi</w:t>
      </w:r>
      <w:r w:rsidR="00237612">
        <w:t>l</w:t>
      </w:r>
      <w:r w:rsidR="00237612">
        <w:fldChar w:fldCharType="begin"/>
      </w:r>
      <w:r w:rsidR="00237612">
        <w:instrText xml:space="preserve"> NOTEREF _Ref233104339 \f \h </w:instrText>
      </w:r>
      <w:r w:rsidR="00237612">
        <w:fldChar w:fldCharType="separate"/>
      </w:r>
      <w:r w:rsidR="009457DB" w:rsidRPr="00D62A68">
        <w:rPr>
          <w:rStyle w:val="FootnoteReference"/>
        </w:rPr>
        <w:t>3</w:t>
      </w:r>
      <w:r w:rsidR="00237612">
        <w:fldChar w:fldCharType="end"/>
      </w:r>
      <w:r w:rsidR="00382F0C">
        <w:t xml:space="preserve"> and timber royalties to sector the</w:t>
      </w:r>
      <w:r w:rsidR="00237612">
        <w:t>ir asset value</w:t>
      </w:r>
      <w:r w:rsidR="000F041E">
        <w:t>s</w:t>
      </w:r>
      <w:r w:rsidR="00237612">
        <w:t xml:space="preserve"> between corporations and the federal and provincial governments. </w:t>
      </w:r>
      <w:r w:rsidR="00CF04CF" w:rsidRPr="00CF04CF">
        <w:t xml:space="preserve">For subsoil assets, a rate is calculated by dividing annual royalties by annual subsoil </w:t>
      </w:r>
      <w:r w:rsidR="000D68C9">
        <w:t xml:space="preserve">resource </w:t>
      </w:r>
      <w:r w:rsidR="00CF04CF" w:rsidRPr="00CF04CF">
        <w:t>rent</w:t>
      </w:r>
      <w:r w:rsidR="00CB7A15">
        <w:t xml:space="preserve"> (See Appendix A for Rent definition)</w:t>
      </w:r>
      <w:r w:rsidR="00CF04CF" w:rsidRPr="00CF04CF">
        <w:t xml:space="preserve">, and this rate is then applied to the </w:t>
      </w:r>
      <w:r w:rsidR="009278E2">
        <w:t xml:space="preserve">total </w:t>
      </w:r>
      <w:r w:rsidR="00CF04CF" w:rsidRPr="00CF04CF">
        <w:t xml:space="preserve">value of </w:t>
      </w:r>
      <w:r w:rsidR="009278E2">
        <w:t>subsoil</w:t>
      </w:r>
      <w:r w:rsidR="00CF04CF" w:rsidRPr="00CF04CF">
        <w:t xml:space="preserve"> assets (i.e., the </w:t>
      </w:r>
      <w:r w:rsidR="00D020F2">
        <w:t>n</w:t>
      </w:r>
      <w:r w:rsidR="00CF04CF" w:rsidRPr="00CF04CF">
        <w:t xml:space="preserve">et </w:t>
      </w:r>
      <w:r w:rsidR="00D020F2">
        <w:t>p</w:t>
      </w:r>
      <w:r w:rsidR="00CF04CF" w:rsidRPr="00CF04CF">
        <w:t xml:space="preserve">resent </w:t>
      </w:r>
      <w:r w:rsidR="00D020F2">
        <w:t>v</w:t>
      </w:r>
      <w:r w:rsidR="00CF04CF" w:rsidRPr="00CF04CF">
        <w:t>alue (NPV)) for the quarter</w:t>
      </w:r>
      <w:r w:rsidR="0050702E">
        <w:t xml:space="preserve"> to derive governments’ share</w:t>
      </w:r>
      <w:r w:rsidR="003F21A5">
        <w:t>).</w:t>
      </w:r>
      <w:r w:rsidR="0050702E">
        <w:t xml:space="preserve"> </w:t>
      </w:r>
      <w:r w:rsidR="00881B18">
        <w:t xml:space="preserve">For timber assets, </w:t>
      </w:r>
      <w:r w:rsidR="009278E2">
        <w:t>t</w:t>
      </w:r>
      <w:r w:rsidR="00881B18">
        <w:t xml:space="preserve">he rate that is applied to the timber assets NPV would be an average </w:t>
      </w:r>
      <w:r w:rsidR="003374F7">
        <w:t>of</w:t>
      </w:r>
      <w:r w:rsidR="00881B18">
        <w:t xml:space="preserve"> data from CFS and </w:t>
      </w:r>
      <w:r w:rsidR="009278E2">
        <w:t>the GFS program</w:t>
      </w:r>
      <w:r w:rsidR="00881B18">
        <w:t>, as these are considered the most accurate. The timber value represents the total provincial share, with the remaining owing to corporations, as federal and indigenous royalty data are currently unavailable.</w:t>
      </w:r>
    </w:p>
    <w:p w14:paraId="685B0D19" w14:textId="0596140B" w:rsidR="000423A9" w:rsidRDefault="00E57218" w:rsidP="000A3F4F">
      <w:pPr>
        <w:spacing w:afterLines="40" w:after="96" w:line="240" w:lineRule="auto"/>
      </w:pPr>
      <w:r>
        <w:t>Indigenous</w:t>
      </w:r>
      <w:r w:rsidR="00305600">
        <w:t xml:space="preserve"> general governments</w:t>
      </w:r>
      <w:r>
        <w:t xml:space="preserve"> </w:t>
      </w:r>
      <w:r w:rsidR="00305600">
        <w:t xml:space="preserve">and Household </w:t>
      </w:r>
      <w:r>
        <w:t>ownership</w:t>
      </w:r>
      <w:r w:rsidR="00CF04CF">
        <w:t xml:space="preserve"> are not included in the current estimates.</w:t>
      </w:r>
      <w:r w:rsidR="005032B9">
        <w:t xml:space="preserve"> </w:t>
      </w:r>
      <w:r w:rsidR="00E614A4">
        <w:t>Work</w:t>
      </w:r>
      <w:r w:rsidR="00E614A4" w:rsidRPr="00F12C85">
        <w:t xml:space="preserve"> is</w:t>
      </w:r>
      <w:r w:rsidR="00F12C85" w:rsidRPr="00F12C85">
        <w:t xml:space="preserve"> underway to expand estimates of financial assets </w:t>
      </w:r>
      <w:r w:rsidR="00F12C85">
        <w:t>and to develop the</w:t>
      </w:r>
      <w:r w:rsidR="00E43536">
        <w:t xml:space="preserve"> creation and dissemination </w:t>
      </w:r>
      <w:r w:rsidR="00E43536">
        <w:lastRenderedPageBreak/>
        <w:t xml:space="preserve">of economic statistics for </w:t>
      </w:r>
      <w:r w:rsidR="00305600">
        <w:t>economic owners</w:t>
      </w:r>
      <w:r w:rsidR="00663720">
        <w:t xml:space="preserve"> </w:t>
      </w:r>
      <w:r w:rsidR="00DD0170">
        <w:t xml:space="preserve">(see </w:t>
      </w:r>
      <w:r w:rsidR="00CF04CF">
        <w:t xml:space="preserve">Section </w:t>
      </w:r>
      <w:r w:rsidR="000B05E8">
        <w:t>5</w:t>
      </w:r>
      <w:r w:rsidR="00DD0170">
        <w:t xml:space="preserve">.0 Future Work for more discussion on </w:t>
      </w:r>
      <w:r w:rsidR="00CF04CF">
        <w:t>Indigenous</w:t>
      </w:r>
      <w:r w:rsidR="00DD0170">
        <w:t xml:space="preserve"> ownership)</w:t>
      </w:r>
      <w:r w:rsidR="00305600">
        <w:t>.</w:t>
      </w:r>
    </w:p>
    <w:p w14:paraId="75E4A310" w14:textId="1730DE5D" w:rsidR="00D4457B" w:rsidRDefault="007570BF" w:rsidP="000A3F4F">
      <w:pPr>
        <w:spacing w:afterLines="40" w:after="96" w:line="240" w:lineRule="auto"/>
      </w:pPr>
      <w:r w:rsidRPr="007570BF">
        <w:t>Mining operations in Canada are generally subject to mining taxes, royalties, or both, with each province and territory applying its own framework.</w:t>
      </w:r>
      <w:r>
        <w:t xml:space="preserve"> </w:t>
      </w:r>
      <w:r w:rsidR="008110B2">
        <w:t>A</w:t>
      </w:r>
      <w:r w:rsidR="000D68C9">
        <w:t xml:space="preserve"> </w:t>
      </w:r>
      <w:r>
        <w:t xml:space="preserve">review of these regimes </w:t>
      </w:r>
      <w:r w:rsidR="00FA5B24">
        <w:t xml:space="preserve">confirmed </w:t>
      </w:r>
      <w:r>
        <w:t>significant variations across jurisdictions and commodities.</w:t>
      </w:r>
      <w:r w:rsidR="00D4457B" w:rsidRPr="000B7C1C">
        <w:t xml:space="preserve"> </w:t>
      </w:r>
      <w:r w:rsidR="00D4457B" w:rsidRPr="00BB6DA9">
        <w:t>Th</w:t>
      </w:r>
      <w:r>
        <w:t>is</w:t>
      </w:r>
      <w:r w:rsidR="00D4457B" w:rsidRPr="00BB6DA9">
        <w:t xml:space="preserve"> review</w:t>
      </w:r>
      <w:r>
        <w:t xml:space="preserve"> </w:t>
      </w:r>
      <w:r w:rsidR="00FD316A">
        <w:t xml:space="preserve">provided </w:t>
      </w:r>
      <w:r w:rsidR="00840639">
        <w:t xml:space="preserve">a starting point </w:t>
      </w:r>
      <w:r w:rsidR="00FD316A">
        <w:t xml:space="preserve">for this analysis </w:t>
      </w:r>
      <w:r w:rsidR="00840639">
        <w:t>while</w:t>
      </w:r>
      <w:r w:rsidR="00FD316A">
        <w:t xml:space="preserve"> also</w:t>
      </w:r>
      <w:r w:rsidR="00D4457B" w:rsidRPr="00BB6DA9">
        <w:t xml:space="preserve"> highlight</w:t>
      </w:r>
      <w:r w:rsidR="00840639">
        <w:t>ing</w:t>
      </w:r>
      <w:r w:rsidR="00D4457B" w:rsidRPr="00BB6DA9">
        <w:t xml:space="preserve"> a key challenge:</w:t>
      </w:r>
      <w:r w:rsidR="000D68C9">
        <w:t xml:space="preserve"> </w:t>
      </w:r>
      <w:r w:rsidR="000D68C9" w:rsidRPr="000D68C9">
        <w:t>differences in royalty regimes make it difficult to consistently identify which payments should be treated as royalties or</w:t>
      </w:r>
      <w:r w:rsidR="00182811">
        <w:t xml:space="preserve"> </w:t>
      </w:r>
      <w:r w:rsidR="000D68C9" w:rsidRPr="000D68C9">
        <w:t>rent for national accounting purposes</w:t>
      </w:r>
      <w:r w:rsidR="00D309C8">
        <w:t xml:space="preserve">. </w:t>
      </w:r>
      <w:r w:rsidR="00D4457B" w:rsidRPr="000B7C1C">
        <w:t xml:space="preserve"> </w:t>
      </w:r>
    </w:p>
    <w:p w14:paraId="1699AA6F" w14:textId="77777777" w:rsidR="007F439D" w:rsidRPr="000B7C1C" w:rsidRDefault="007F439D" w:rsidP="000A3F4F">
      <w:pPr>
        <w:spacing w:afterLines="40" w:after="96" w:line="240" w:lineRule="auto"/>
      </w:pPr>
    </w:p>
    <w:p w14:paraId="7C3D1EFF" w14:textId="35048259" w:rsidR="00400FBB" w:rsidRDefault="00400FBB" w:rsidP="00483B14">
      <w:pPr>
        <w:pStyle w:val="Heading2"/>
      </w:pPr>
      <w:r>
        <w:t>2.</w:t>
      </w:r>
      <w:r w:rsidR="00483B14">
        <w:t>0</w:t>
      </w:r>
      <w:r>
        <w:t xml:space="preserve"> </w:t>
      </w:r>
      <w:r w:rsidRPr="00F60F87">
        <w:t xml:space="preserve">Key </w:t>
      </w:r>
      <w:r w:rsidR="00667A43">
        <w:t>c</w:t>
      </w:r>
      <w:r w:rsidRPr="00F60F87">
        <w:t xml:space="preserve">hallenges </w:t>
      </w:r>
      <w:r w:rsidR="00667A43">
        <w:t>i</w:t>
      </w:r>
      <w:r w:rsidRPr="00F60F87">
        <w:t>dentified</w:t>
      </w:r>
    </w:p>
    <w:p w14:paraId="449F578F" w14:textId="76AE01E1" w:rsidR="00400FBB" w:rsidRDefault="00976090" w:rsidP="00400FBB">
      <w:pPr>
        <w:numPr>
          <w:ilvl w:val="0"/>
          <w:numId w:val="1"/>
        </w:numPr>
        <w:spacing w:afterLines="40" w:after="96" w:line="240" w:lineRule="auto"/>
        <w:ind w:left="714" w:hanging="357"/>
      </w:pPr>
      <w:r>
        <w:t xml:space="preserve">Different levels of detail across provincial governments </w:t>
      </w:r>
    </w:p>
    <w:p w14:paraId="2FEEEE41" w14:textId="0FA4EC73" w:rsidR="00400FBB" w:rsidRPr="000B7C1C" w:rsidRDefault="00AA130D" w:rsidP="00400FBB">
      <w:pPr>
        <w:numPr>
          <w:ilvl w:val="1"/>
          <w:numId w:val="1"/>
        </w:numPr>
        <w:spacing w:afterLines="40" w:after="96" w:line="240" w:lineRule="auto"/>
      </w:pPr>
      <w:r>
        <w:t>S</w:t>
      </w:r>
      <w:r w:rsidR="00400FBB">
        <w:t>ome provide aggregate values at the total mineral level while others provide granular data down to the project level.</w:t>
      </w:r>
    </w:p>
    <w:p w14:paraId="3D0C6B7E" w14:textId="77777777" w:rsidR="002D08D1" w:rsidRDefault="00400FBB" w:rsidP="002D08D1">
      <w:pPr>
        <w:numPr>
          <w:ilvl w:val="0"/>
          <w:numId w:val="1"/>
        </w:numPr>
        <w:spacing w:afterLines="40" w:after="96" w:line="240" w:lineRule="auto"/>
        <w:ind w:left="714" w:hanging="357"/>
      </w:pPr>
      <w:r w:rsidRPr="000B7C1C">
        <w:t>Regional differences in royalty regimes</w:t>
      </w:r>
    </w:p>
    <w:p w14:paraId="78AAD4EB" w14:textId="2662E7E1" w:rsidR="00966DA9" w:rsidRDefault="00AA130D" w:rsidP="004B08FB">
      <w:pPr>
        <w:numPr>
          <w:ilvl w:val="1"/>
          <w:numId w:val="1"/>
        </w:numPr>
        <w:spacing w:afterLines="40" w:after="96" w:line="240" w:lineRule="auto"/>
      </w:pPr>
      <w:r w:rsidRPr="000B7C1C">
        <w:t>Canadian royalty regimes can be broadly categorized into four types</w:t>
      </w:r>
      <w:r>
        <w:t>: Price</w:t>
      </w:r>
      <w:r w:rsidR="005363F0">
        <w:t>-</w:t>
      </w:r>
      <w:r>
        <w:t>based, production</w:t>
      </w:r>
      <w:r w:rsidR="005363F0">
        <w:t>-</w:t>
      </w:r>
      <w:r>
        <w:t>based, hybrid models (typically revenue-based), and profit</w:t>
      </w:r>
      <w:r w:rsidR="005363F0">
        <w:t>-</w:t>
      </w:r>
      <w:r>
        <w:t xml:space="preserve">based (net-revenue). </w:t>
      </w:r>
      <w:r w:rsidR="00665141">
        <w:t xml:space="preserve">Refer to Appendix B for summary table. </w:t>
      </w:r>
    </w:p>
    <w:p w14:paraId="0CD84E5A" w14:textId="7F462E66" w:rsidR="00DF62F5" w:rsidRDefault="00DF62F5" w:rsidP="00533FD8">
      <w:pPr>
        <w:numPr>
          <w:ilvl w:val="0"/>
          <w:numId w:val="1"/>
        </w:numPr>
        <w:spacing w:afterLines="40" w:after="96" w:line="240" w:lineRule="auto"/>
        <w:ind w:left="714" w:hanging="357"/>
      </w:pPr>
      <w:r>
        <w:t>Differing rent definitions across surveys and programs</w:t>
      </w:r>
      <w:r w:rsidR="00D309C8">
        <w:t xml:space="preserve"> at Statistics Canada</w:t>
      </w:r>
    </w:p>
    <w:p w14:paraId="22977C64" w14:textId="3E1FD27F" w:rsidR="00DF62F5" w:rsidRDefault="005363F0" w:rsidP="00DF62F5">
      <w:pPr>
        <w:numPr>
          <w:ilvl w:val="1"/>
          <w:numId w:val="1"/>
        </w:numPr>
        <w:spacing w:afterLines="40" w:after="96" w:line="240" w:lineRule="auto"/>
      </w:pPr>
      <w:r>
        <w:t>O</w:t>
      </w:r>
      <w:r w:rsidR="00DF62F5">
        <w:t>ngoing discussion</w:t>
      </w:r>
      <w:r>
        <w:t>s</w:t>
      </w:r>
      <w:r w:rsidR="00DF62F5">
        <w:t xml:space="pres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w:rPr>
        <w:t>1</w:t>
      </w:r>
      <w:r w:rsidR="00DF62F5">
        <w:fldChar w:fldCharType="end"/>
      </w:r>
    </w:p>
    <w:p w14:paraId="74FBEA26" w14:textId="6DF54649" w:rsidR="00533FD8" w:rsidRDefault="005363F0" w:rsidP="00D62A68">
      <w:pPr>
        <w:numPr>
          <w:ilvl w:val="1"/>
          <w:numId w:val="1"/>
        </w:numPr>
        <w:spacing w:afterLines="40" w:after="96" w:line="240" w:lineRule="auto"/>
      </w:pPr>
      <w:r>
        <w:t>Debate whether</w:t>
      </w:r>
      <w:r w:rsidR="00DF62F5">
        <w:t xml:space="preserve"> mineral taxes </w:t>
      </w:r>
      <w:r>
        <w:t xml:space="preserve">should </w:t>
      </w:r>
      <w:r w:rsidR="00DF62F5">
        <w:t>be a part of wealth allocation in resource accounts</w:t>
      </w:r>
    </w:p>
    <w:p w14:paraId="4AE6FA18" w14:textId="30B4E693" w:rsidR="00533FD8" w:rsidRDefault="00DF62F5" w:rsidP="00533FD8">
      <w:pPr>
        <w:numPr>
          <w:ilvl w:val="1"/>
          <w:numId w:val="1"/>
        </w:numPr>
        <w:spacing w:afterLines="40" w:after="96" w:line="240" w:lineRule="auto"/>
      </w:pPr>
      <w:r>
        <w:t>In Canada, s</w:t>
      </w:r>
      <w:r w:rsidR="00533FD8">
        <w:t>ome provinces do not have royalty regimes, instead relying on tax structures for resource revenue. Some provinces rely on both royalties and taxes. Depending on the data source used, either all or only one stream of income is categorized as rent.</w:t>
      </w:r>
      <w:r w:rsidR="007074B5">
        <w:t xml:space="preserve"> </w:t>
      </w:r>
    </w:p>
    <w:p w14:paraId="3D6ED7D8" w14:textId="4AF7DA65" w:rsidR="00533FD8" w:rsidRDefault="00400FBB" w:rsidP="00533FD8">
      <w:pPr>
        <w:numPr>
          <w:ilvl w:val="0"/>
          <w:numId w:val="1"/>
        </w:numPr>
        <w:spacing w:afterLines="40" w:after="96" w:line="240" w:lineRule="auto"/>
        <w:ind w:left="714" w:hanging="357"/>
      </w:pPr>
      <w:r>
        <w:t>Lack of data on Indigenous</w:t>
      </w:r>
      <w:r w:rsidR="006225E6">
        <w:t xml:space="preserve"> government</w:t>
      </w:r>
      <w:r w:rsidR="00A43CA3">
        <w:t>s</w:t>
      </w:r>
      <w:r>
        <w:t xml:space="preserve"> </w:t>
      </w:r>
      <w:r w:rsidR="00A60E06">
        <w:t xml:space="preserve">and household </w:t>
      </w:r>
      <w:r>
        <w:t>ownership of natural resources</w:t>
      </w:r>
    </w:p>
    <w:p w14:paraId="45F0F1C1" w14:textId="57ABE3FB" w:rsidR="00533FD8" w:rsidRPr="003C1A8C" w:rsidRDefault="00533FD8" w:rsidP="003C1A8C">
      <w:pPr>
        <w:numPr>
          <w:ilvl w:val="0"/>
          <w:numId w:val="1"/>
        </w:numPr>
        <w:spacing w:afterLines="40" w:after="96" w:line="240" w:lineRule="auto"/>
        <w:ind w:left="714" w:hanging="357"/>
        <w:rPr>
          <w:rFonts w:ascii="Calibri" w:hAnsi="Calibri" w:cs="Calibri"/>
        </w:rPr>
      </w:pPr>
      <w:r w:rsidRPr="003C1A8C">
        <w:rPr>
          <w:rFonts w:ascii="Calibri" w:eastAsia="Times New Roman" w:hAnsi="Calibri" w:cs="Calibri"/>
          <w:lang w:eastAsia="en-CA"/>
        </w:rPr>
        <w:t xml:space="preserve">Discrepancies in publicly </w:t>
      </w:r>
      <w:r w:rsidR="005E240A">
        <w:rPr>
          <w:rFonts w:ascii="Calibri" w:eastAsia="Times New Roman" w:hAnsi="Calibri" w:cs="Calibri"/>
          <w:lang w:eastAsia="en-CA"/>
        </w:rPr>
        <w:t xml:space="preserve">reported </w:t>
      </w:r>
      <w:r w:rsidRPr="003C1A8C">
        <w:rPr>
          <w:rFonts w:ascii="Calibri" w:eastAsia="Times New Roman" w:hAnsi="Calibri" w:cs="Calibri"/>
          <w:lang w:eastAsia="en-CA"/>
        </w:rPr>
        <w:t>royalty data across sources for the same jurisdictions and years</w:t>
      </w:r>
    </w:p>
    <w:p w14:paraId="112DB259" w14:textId="77777777" w:rsidR="00400FBB" w:rsidRDefault="00400FBB" w:rsidP="00400FBB">
      <w:pPr>
        <w:spacing w:afterLines="40" w:after="96" w:line="240" w:lineRule="auto"/>
        <w:ind w:left="714"/>
      </w:pPr>
    </w:p>
    <w:p w14:paraId="62349FB6" w14:textId="473E228C" w:rsidR="00D80037" w:rsidRDefault="0056194D" w:rsidP="00E026F0">
      <w:pPr>
        <w:pStyle w:val="Heading2"/>
      </w:pPr>
      <w:r>
        <w:t xml:space="preserve">3.0 </w:t>
      </w:r>
      <w:r w:rsidR="00B70566">
        <w:t>Analysis</w:t>
      </w:r>
      <w:r w:rsidR="00901410">
        <w:t xml:space="preserve"> and </w:t>
      </w:r>
      <w:r w:rsidR="00667A43">
        <w:t>r</w:t>
      </w:r>
      <w:r w:rsidR="00901410">
        <w:t>esults</w:t>
      </w:r>
    </w:p>
    <w:p w14:paraId="764337C1" w14:textId="595E1D8B" w:rsidR="00A5191C" w:rsidRPr="00A5191C" w:rsidRDefault="00A5191C" w:rsidP="00A5191C">
      <w:r w:rsidRPr="00A5191C">
        <w:t>This section outlines the</w:t>
      </w:r>
      <w:r w:rsidR="00C03FD5">
        <w:t xml:space="preserve"> </w:t>
      </w:r>
      <w:r w:rsidR="001E7B75">
        <w:t>sectoring</w:t>
      </w:r>
      <w:r w:rsidRPr="00A5191C">
        <w:t xml:space="preserve"> exercises </w:t>
      </w:r>
      <w:r w:rsidR="00C03FD5">
        <w:t>for each commodity</w:t>
      </w:r>
      <w:r w:rsidRPr="00A5191C">
        <w:t xml:space="preserve"> and the main challenges encountered during </w:t>
      </w:r>
      <w:r w:rsidR="00F23E66">
        <w:t>the</w:t>
      </w:r>
      <w:r w:rsidR="00F23E66" w:rsidRPr="00A5191C">
        <w:t xml:space="preserve"> </w:t>
      </w:r>
      <w:r w:rsidRPr="00A5191C">
        <w:t>process</w:t>
      </w:r>
      <w:r w:rsidR="00F23E66">
        <w:t xml:space="preserve"> to compile estimates of </w:t>
      </w:r>
      <w:r w:rsidR="001E7B75">
        <w:t>royalty values</w:t>
      </w:r>
      <w:r w:rsidRPr="00A5191C">
        <w:t xml:space="preserve">. </w:t>
      </w:r>
      <w:r w:rsidR="004F7B75">
        <w:t>Each</w:t>
      </w:r>
      <w:r w:rsidR="007B3619">
        <w:t xml:space="preserve"> </w:t>
      </w:r>
      <w:r w:rsidR="00F23E66">
        <w:t>sub-section</w:t>
      </w:r>
      <w:r w:rsidR="00F23E66" w:rsidRPr="00A5191C">
        <w:t xml:space="preserve"> </w:t>
      </w:r>
      <w:r w:rsidRPr="00A5191C">
        <w:t xml:space="preserve">concludes with tables presenting the </w:t>
      </w:r>
      <w:r w:rsidR="001E7B75">
        <w:t>new</w:t>
      </w:r>
      <w:r w:rsidR="001E7B75" w:rsidRPr="00A5191C">
        <w:t xml:space="preserve"> </w:t>
      </w:r>
      <w:r w:rsidRPr="00A5191C">
        <w:t>royalty estimates</w:t>
      </w:r>
      <w:r w:rsidR="001E7B75">
        <w:t xml:space="preserve"> and the resulting </w:t>
      </w:r>
      <w:r w:rsidR="00E5022F">
        <w:t xml:space="preserve">value </w:t>
      </w:r>
      <w:r w:rsidR="001E7B75">
        <w:t>split</w:t>
      </w:r>
      <w:r w:rsidRPr="00A5191C">
        <w:t>.</w:t>
      </w:r>
      <w:r w:rsidR="00BF3E74">
        <w:t xml:space="preserve"> Note that in this text, when rent is </w:t>
      </w:r>
      <w:r w:rsidR="00097FC1">
        <w:t>mentioned,</w:t>
      </w:r>
      <w:r w:rsidR="00BF3E74">
        <w:t xml:space="preserve"> it </w:t>
      </w:r>
      <w:r w:rsidR="00F94860">
        <w:t xml:space="preserve">is </w:t>
      </w:r>
      <w:r w:rsidR="00BF3E74">
        <w:t>referring to resource rent</w:t>
      </w:r>
      <w:r w:rsidR="00F94860">
        <w:t>.</w:t>
      </w:r>
      <w:r w:rsidR="00BF3E74">
        <w:t xml:space="preserve"> </w:t>
      </w:r>
    </w:p>
    <w:p w14:paraId="3A12BB5D" w14:textId="60ACEC03" w:rsidR="00402A9D" w:rsidRPr="00BC6A98" w:rsidRDefault="00402A9D" w:rsidP="00402A9D">
      <w:pPr>
        <w:pStyle w:val="Heading3"/>
      </w:pPr>
      <w:r>
        <w:t xml:space="preserve">3.1 Crude </w:t>
      </w:r>
      <w:r w:rsidR="00667A43">
        <w:t>o</w:t>
      </w:r>
      <w:r w:rsidRPr="00BC6A98">
        <w:t xml:space="preserve">il and </w:t>
      </w:r>
      <w:r w:rsidR="00667A43">
        <w:t>n</w:t>
      </w:r>
      <w:r>
        <w:t xml:space="preserve">atural </w:t>
      </w:r>
      <w:r w:rsidR="00667A43">
        <w:t>g</w:t>
      </w:r>
      <w:r w:rsidRPr="00BC6A98">
        <w:t>as</w:t>
      </w:r>
    </w:p>
    <w:p w14:paraId="7BAAA344" w14:textId="6B394CA4" w:rsidR="00402A9D" w:rsidRDefault="00402A9D" w:rsidP="000738CC">
      <w:pPr>
        <w:spacing w:afterLines="40" w:after="96" w:line="240" w:lineRule="auto"/>
      </w:pPr>
      <w:r w:rsidRPr="00C36CBD">
        <w:t>Each province applies its own royalty regime to crude oil and natural gas production, and in some cases separate regimes are used for each resource.</w:t>
      </w:r>
      <w:r>
        <w:t xml:space="preserve"> </w:t>
      </w:r>
      <w:r w:rsidRPr="00C178B5">
        <w:t>These regimes can be structured in different ways: price-based, production-based,</w:t>
      </w:r>
      <w:r>
        <w:t xml:space="preserve"> a hybrid of these two, or</w:t>
      </w:r>
      <w:r w:rsidRPr="00C178B5">
        <w:t xml:space="preserve"> profit-based</w:t>
      </w:r>
      <w:r>
        <w:t xml:space="preserve"> (See Appendix B for additional details on these types of regimes)</w:t>
      </w:r>
      <w:r w:rsidRPr="00C178B5">
        <w:t>.</w:t>
      </w:r>
      <w:r w:rsidR="00243D22">
        <w:t xml:space="preserve"> </w:t>
      </w:r>
      <w:r w:rsidR="00243D22" w:rsidRPr="00243D22">
        <w:t>As a result, estimating royalties directly from provincial royalty formulas would require accounting for numerous jurisdictions</w:t>
      </w:r>
      <w:r w:rsidR="00243D22">
        <w:t xml:space="preserve"> with </w:t>
      </w:r>
      <w:r w:rsidR="00243D22" w:rsidRPr="00243D22">
        <w:t>commodity-specific rules.</w:t>
      </w:r>
      <w:r w:rsidR="00243D22">
        <w:t xml:space="preserve"> Fortunately,</w:t>
      </w:r>
      <w:r w:rsidR="00243D22" w:rsidRPr="00243D22">
        <w:t xml:space="preserve"> publicly available royalty data provide an alternative source of royalty values.</w:t>
      </w:r>
    </w:p>
    <w:p w14:paraId="1429BFBD" w14:textId="09744A58" w:rsidR="00402A9D" w:rsidRDefault="007074B5" w:rsidP="005A6F93">
      <w:pPr>
        <w:spacing w:afterLines="40" w:after="96" w:line="240" w:lineRule="auto"/>
      </w:pPr>
      <w:r>
        <w:lastRenderedPageBreak/>
        <w:t>R</w:t>
      </w:r>
      <w:r w:rsidR="00402A9D">
        <w:t xml:space="preserve">oyalty data </w:t>
      </w:r>
      <w:r w:rsidR="0068083E" w:rsidRPr="00C36CBD">
        <w:t xml:space="preserve">are </w:t>
      </w:r>
      <w:r w:rsidR="0068083E">
        <w:t xml:space="preserve">publicly </w:t>
      </w:r>
      <w:r w:rsidR="0068083E" w:rsidRPr="00C36CBD">
        <w:t>available for crude oil and natural gas</w:t>
      </w:r>
      <w:r w:rsidR="0068083E">
        <w:t xml:space="preserve"> </w:t>
      </w:r>
      <w:r w:rsidR="00402A9D">
        <w:t>from Canadian Association of Petroleum Producers (</w:t>
      </w:r>
      <w:r w:rsidR="00402A9D" w:rsidRPr="00C178B5">
        <w:t>CAPP</w:t>
      </w:r>
      <w:r w:rsidR="00402A9D">
        <w:t>) and Statistics Canada</w:t>
      </w:r>
      <w:bookmarkStart w:id="2" w:name="_Ref235436332"/>
      <w:r w:rsidR="005A6F93">
        <w:t>.</w:t>
      </w:r>
      <w:r w:rsidR="00060499">
        <w:rPr>
          <w:rStyle w:val="FootnoteReference"/>
        </w:rPr>
        <w:footnoteReference w:id="8"/>
      </w:r>
      <w:bookmarkEnd w:id="2"/>
      <w:r w:rsidR="0068083E">
        <w:t xml:space="preserve"> These </w:t>
      </w:r>
      <w:r w:rsidR="00402A9D">
        <w:t xml:space="preserve">were used to derive comparable royalty rates representing the provincial share of the resource value. CAPP </w:t>
      </w:r>
      <w:r w:rsidR="00402A9D" w:rsidRPr="00C178B5">
        <w:t xml:space="preserve">publishes </w:t>
      </w:r>
      <w:r w:rsidR="00F47366">
        <w:t>provincial royalty</w:t>
      </w:r>
      <w:r w:rsidR="00402A9D">
        <w:t xml:space="preserve"> data for</w:t>
      </w:r>
      <w:r w:rsidR="00402A9D" w:rsidRPr="00C178B5">
        <w:t xml:space="preserve"> all petroleum resources combined</w:t>
      </w:r>
      <w:r w:rsidR="002F3B8C">
        <w:t xml:space="preserve"> and </w:t>
      </w:r>
      <w:r w:rsidR="00402A9D">
        <w:t xml:space="preserve">Statistics Canada publishes </w:t>
      </w:r>
      <w:r w:rsidR="002F3B8C">
        <w:t>a combined</w:t>
      </w:r>
      <w:r w:rsidR="00243D22">
        <w:t xml:space="preserve"> </w:t>
      </w:r>
      <w:r w:rsidR="00402A9D">
        <w:t xml:space="preserve">oil and gas </w:t>
      </w:r>
      <w:r w:rsidR="00CE4F6D">
        <w:t>royalty,</w:t>
      </w:r>
      <w:r w:rsidR="002F3B8C">
        <w:t xml:space="preserve"> for provincial and federal governments. Both sources publish royalties for crude oil and natural gas at the aggregate level, which made it</w:t>
      </w:r>
      <w:r w:rsidR="00884F8B">
        <w:t xml:space="preserve"> comparable to the net present value from the NRAA</w:t>
      </w:r>
      <w:r w:rsidR="002F3B8C">
        <w:t xml:space="preserve">. </w:t>
      </w:r>
      <w:r w:rsidR="00E07945">
        <w:t xml:space="preserve">Note that </w:t>
      </w:r>
      <w:r w:rsidR="00884F8B">
        <w:t>the asset</w:t>
      </w:r>
      <w:r w:rsidR="00884F8B" w:rsidRPr="00884F8B">
        <w:t xml:space="preserve"> valuations for conventional crude oil and natural gas were combined in order to harmonize with industry</w:t>
      </w:r>
      <w:r w:rsidR="00402A9D">
        <w:t xml:space="preserve"> </w:t>
      </w:r>
      <w:r w:rsidR="00884F8B">
        <w:t xml:space="preserve">data </w:t>
      </w:r>
      <w:r w:rsidR="00892EBB">
        <w:t>in the value of selected natural resources table</w:t>
      </w:r>
      <w:r w:rsidR="001A4BD8">
        <w:t>.</w:t>
      </w:r>
      <w:r w:rsidR="00A764E3">
        <w:rPr>
          <w:rStyle w:val="FootnoteReference"/>
        </w:rPr>
        <w:footnoteReference w:id="9"/>
      </w:r>
      <w:r w:rsidR="00E07945">
        <w:t xml:space="preserve"> </w:t>
      </w:r>
    </w:p>
    <w:p w14:paraId="20AD6CCF" w14:textId="58B51D34" w:rsidR="00402A9D" w:rsidRDefault="00402A9D" w:rsidP="000738CC">
      <w:pPr>
        <w:spacing w:afterLines="40" w:after="96" w:line="240" w:lineRule="auto"/>
      </w:pPr>
      <w:r>
        <w:t>P</w:t>
      </w:r>
      <w:r w:rsidRPr="00191B1B">
        <w:t>rovincial royalty revenues were aggregated to derive a total provincial royalty amount</w:t>
      </w:r>
      <w:r>
        <w:t xml:space="preserve"> for each data source. This total was compared to the Canada oil and gas resource rent to estimate an effective royalty rate, which was then applied to the Canada oil and gas net present value (NPV) to derive the provincial share of the asset value. </w:t>
      </w:r>
      <w:r w:rsidRPr="00191B1B">
        <w:t>Th</w:t>
      </w:r>
      <w:r>
        <w:t>is</w:t>
      </w:r>
      <w:r w:rsidRPr="00191B1B">
        <w:t xml:space="preserve"> methodology was applied independently to both the CAPP and Statistics Canada royalty </w:t>
      </w:r>
      <w:r>
        <w:t xml:space="preserve">data </w:t>
      </w:r>
      <w:r w:rsidRPr="00191B1B">
        <w:t xml:space="preserve">series, allowing the resulting estimates to be compared </w:t>
      </w:r>
      <w:r>
        <w:t>in the tables below</w:t>
      </w:r>
      <w:r w:rsidRPr="00191B1B">
        <w:t>.</w:t>
      </w:r>
      <w:r>
        <w:t xml:space="preserve"> </w:t>
      </w:r>
      <w:r w:rsidRPr="00191B1B">
        <w:t>For the Statistics Canada</w:t>
      </w:r>
      <w:r>
        <w:t xml:space="preserve"> data</w:t>
      </w:r>
      <w:r w:rsidRPr="00191B1B">
        <w:t>, the available federal royalty revenues were also used to estimate a federal share of the NPV.</w:t>
      </w:r>
      <w:r>
        <w:t xml:space="preserve"> In this analysis, t</w:t>
      </w:r>
      <w:r w:rsidRPr="00191B1B">
        <w:t>his represents the first and currently only natural resource for which a federal share of NPV has been estimated.</w:t>
      </w:r>
    </w:p>
    <w:p w14:paraId="38340F0D" w14:textId="77777777" w:rsidR="00402A9D" w:rsidRPr="008C413F" w:rsidRDefault="00402A9D" w:rsidP="00402A9D">
      <w:pPr>
        <w:spacing w:afterLines="40" w:after="96" w:line="240" w:lineRule="auto"/>
      </w:pPr>
    </w:p>
    <w:p w14:paraId="403234FF" w14:textId="59DC52CE" w:rsidR="00402A9D" w:rsidRPr="00862426" w:rsidRDefault="00402A9D" w:rsidP="00402A9D">
      <w:pPr>
        <w:spacing w:afterLines="40" w:after="96" w:line="240" w:lineRule="auto"/>
      </w:pPr>
      <w:r>
        <w:rPr>
          <w:b/>
          <w:bCs/>
        </w:rPr>
        <w:t>3.</w:t>
      </w:r>
      <w:r w:rsidR="009871EB">
        <w:rPr>
          <w:b/>
          <w:bCs/>
        </w:rPr>
        <w:t>1</w:t>
      </w:r>
      <w:r>
        <w:rPr>
          <w:b/>
          <w:bCs/>
        </w:rPr>
        <w:t xml:space="preserve">.1 Results and </w:t>
      </w:r>
      <w:r w:rsidR="007006D6">
        <w:rPr>
          <w:b/>
          <w:bCs/>
        </w:rPr>
        <w:t>c</w:t>
      </w:r>
      <w:r w:rsidRPr="002A59E1">
        <w:rPr>
          <w:b/>
          <w:bCs/>
        </w:rPr>
        <w:t>hallenges</w:t>
      </w:r>
    </w:p>
    <w:p w14:paraId="373DC378" w14:textId="132B00D5" w:rsidR="00846B2C" w:rsidRDefault="000151C4" w:rsidP="005A6F93">
      <w:pPr>
        <w:spacing w:afterLines="40" w:after="96" w:line="240" w:lineRule="auto"/>
      </w:pPr>
      <w:r>
        <w:t>Tables 1 to 4</w:t>
      </w:r>
      <w:r w:rsidR="00402A9D">
        <w:t xml:space="preserve"> </w:t>
      </w:r>
      <w:r w:rsidR="00636ACB">
        <w:t xml:space="preserve">compare </w:t>
      </w:r>
      <w:r w:rsidR="00846B2C">
        <w:t xml:space="preserve">the </w:t>
      </w:r>
      <w:r w:rsidR="002F4AA5">
        <w:t xml:space="preserve">split ownership of the crude oil and natural gas resource value, </w:t>
      </w:r>
      <w:r w:rsidR="00846B2C">
        <w:t xml:space="preserve">using </w:t>
      </w:r>
      <w:r w:rsidR="00636ACB">
        <w:t xml:space="preserve">royalty data from </w:t>
      </w:r>
      <w:r w:rsidR="00402A9D">
        <w:t>CAPP and StatCan</w:t>
      </w:r>
      <w:r w:rsidR="00636ACB">
        <w:t>. The results</w:t>
      </w:r>
      <w:r w:rsidR="00402A9D" w:rsidRPr="00855D58">
        <w:t xml:space="preserve"> indicate that the provincial share can represent a substantial portion of the</w:t>
      </w:r>
      <w:r w:rsidR="00846B2C">
        <w:t xml:space="preserve"> crude</w:t>
      </w:r>
      <w:r w:rsidR="00402A9D" w:rsidRPr="00855D58">
        <w:t xml:space="preserve"> </w:t>
      </w:r>
      <w:r w:rsidR="00402A9D">
        <w:t xml:space="preserve">oil and </w:t>
      </w:r>
      <w:r w:rsidR="00846B2C">
        <w:t xml:space="preserve">natural </w:t>
      </w:r>
      <w:r w:rsidR="00402A9D">
        <w:t>gas NPV</w:t>
      </w:r>
      <w:r w:rsidR="00636ACB">
        <w:t>—</w:t>
      </w:r>
      <w:r w:rsidR="00402A9D" w:rsidRPr="00855D58">
        <w:t>ranging from</w:t>
      </w:r>
      <w:r w:rsidR="00402A9D">
        <w:t xml:space="preserve"> approximately</w:t>
      </w:r>
      <w:r w:rsidR="00402A9D" w:rsidRPr="00855D58">
        <w:t xml:space="preserve"> </w:t>
      </w:r>
      <w:r w:rsidR="00402A9D">
        <w:t>40</w:t>
      </w:r>
      <w:r w:rsidR="00402A9D" w:rsidRPr="00855D58">
        <w:t xml:space="preserve">% to </w:t>
      </w:r>
      <w:r w:rsidR="00402A9D">
        <w:t>over 100</w:t>
      </w:r>
      <w:r w:rsidR="00402A9D" w:rsidRPr="00855D58">
        <w:t>%</w:t>
      </w:r>
      <w:r w:rsidR="00402A9D">
        <w:t>, even</w:t>
      </w:r>
      <w:r w:rsidR="00402A9D" w:rsidRPr="00855D58">
        <w:t xml:space="preserve"> when </w:t>
      </w:r>
      <w:r w:rsidR="00402A9D">
        <w:t xml:space="preserve">years with </w:t>
      </w:r>
      <w:r w:rsidR="00402A9D" w:rsidRPr="00855D58">
        <w:t xml:space="preserve">negative NPV </w:t>
      </w:r>
      <w:r w:rsidR="00402A9D">
        <w:t xml:space="preserve">are excluded. </w:t>
      </w:r>
    </w:p>
    <w:p w14:paraId="6127FB38" w14:textId="4AD02BF9" w:rsidR="00402A9D" w:rsidRDefault="00402A9D" w:rsidP="005A6F93">
      <w:pPr>
        <w:spacing w:afterLines="40" w:after="96" w:line="240" w:lineRule="auto"/>
      </w:pPr>
      <w:r w:rsidRPr="00724486">
        <w:t>Values exceeding 100% suggest that, in certain years,</w:t>
      </w:r>
      <w:r w:rsidR="00636ACB">
        <w:t xml:space="preserve"> </w:t>
      </w:r>
      <w:r w:rsidRPr="00724486">
        <w:t xml:space="preserve">royalty payments to governments were greater than the resource rent estimated in the </w:t>
      </w:r>
      <w:r w:rsidR="006E059C" w:rsidRPr="00724486">
        <w:t xml:space="preserve">accounts. </w:t>
      </w:r>
      <w:r w:rsidR="006E059C" w:rsidRPr="002D08B6">
        <w:t>Consequently, the estimated government share may exceed 100% of resource rent, implying a negative corporate share in those years.</w:t>
      </w:r>
      <w:r w:rsidR="006E059C">
        <w:t xml:space="preserve"> </w:t>
      </w:r>
      <w:r w:rsidR="006E059C" w:rsidRPr="00724486">
        <w:t xml:space="preserve">This can </w:t>
      </w:r>
      <w:r w:rsidR="006E059C">
        <w:t>happen</w:t>
      </w:r>
      <w:r w:rsidR="006E059C" w:rsidRPr="00724486">
        <w:t xml:space="preserve"> during periods of relatively low </w:t>
      </w:r>
      <w:r w:rsidR="006E059C">
        <w:t>or negative resource rents</w:t>
      </w:r>
      <w:r w:rsidR="006E059C" w:rsidRPr="002D08B6">
        <w:t>.</w:t>
      </w:r>
    </w:p>
    <w:p w14:paraId="2B78CCD3" w14:textId="1B54B15F" w:rsidR="00402A9D" w:rsidRDefault="00402A9D" w:rsidP="005A6F93">
      <w:pPr>
        <w:spacing w:afterLines="40" w:after="96" w:line="240" w:lineRule="auto"/>
      </w:pPr>
      <w:r>
        <w:t>However, publishing a positive share of resource NPV attributable to governments while the resource value itself is negative</w:t>
      </w:r>
      <w:r w:rsidR="006E059C">
        <w:t>, or zero,</w:t>
      </w:r>
      <w:r>
        <w:t xml:space="preserve"> can be confusing. As the</w:t>
      </w:r>
      <w:r w:rsidRPr="001C1584">
        <w:t xml:space="preserve"> approach </w:t>
      </w:r>
      <w:r>
        <w:t>taken in this analysis</w:t>
      </w:r>
      <w:r w:rsidRPr="001C1584">
        <w:t xml:space="preserve"> </w:t>
      </w:r>
      <w:r>
        <w:t>i</w:t>
      </w:r>
      <w:r w:rsidR="002F4AA5">
        <w:t>s</w:t>
      </w:r>
      <w:r>
        <w:t xml:space="preserve"> to use royalties for rent allocation purposes only, this limits its use </w:t>
      </w:r>
      <w:r w:rsidR="000738CC">
        <w:t xml:space="preserve">to </w:t>
      </w:r>
      <w:r>
        <w:t xml:space="preserve">when rent, and therefore NPV, is positive.  </w:t>
      </w:r>
    </w:p>
    <w:p w14:paraId="5456843B" w14:textId="77777777" w:rsidR="00402A9D" w:rsidRDefault="00402A9D" w:rsidP="005A6F93">
      <w:pPr>
        <w:spacing w:afterLines="40" w:after="96" w:line="240" w:lineRule="auto"/>
      </w:pPr>
      <w:r w:rsidRPr="00F414D6">
        <w:t xml:space="preserve">While the treatment of negative resource rent </w:t>
      </w:r>
      <w:r>
        <w:t xml:space="preserve">can </w:t>
      </w:r>
      <w:r w:rsidRPr="00F414D6">
        <w:t>affect the estimated ownership shares, the choice of royalty data source also has a significant impact on the results.</w:t>
      </w:r>
    </w:p>
    <w:p w14:paraId="161BB383" w14:textId="7F39DD75" w:rsidR="00402A9D" w:rsidRDefault="00060499" w:rsidP="005A6F93">
      <w:pPr>
        <w:spacing w:afterLines="40" w:after="96" w:line="240" w:lineRule="auto"/>
      </w:pPr>
      <w:r>
        <w:t>In</w:t>
      </w:r>
      <w:r w:rsidR="00702DA8">
        <w:t xml:space="preserve"> addition, the comparison highlights t</w:t>
      </w:r>
      <w:r w:rsidR="00402A9D" w:rsidRPr="00CD550A">
        <w:t>he difference between royalties reported by CAPP and Statistics Canada (</w:t>
      </w:r>
      <w:r w:rsidR="00402A9D">
        <w:t xml:space="preserve">see </w:t>
      </w:r>
      <w:r w:rsidR="00402A9D" w:rsidRPr="00CD550A">
        <w:t xml:space="preserve">Table </w:t>
      </w:r>
      <w:r w:rsidR="000151C4">
        <w:t>3</w:t>
      </w:r>
      <w:r w:rsidR="00402A9D" w:rsidRPr="00CD550A">
        <w:t>), reaching as much as $5 billion in certain years.</w:t>
      </w:r>
      <w:r w:rsidR="00402A9D">
        <w:t xml:space="preserve"> </w:t>
      </w:r>
      <w:r w:rsidR="00702DA8">
        <w:t xml:space="preserve">Assessment of the source data identify several possible reasons for these differences. Firstly, </w:t>
      </w:r>
      <w:r w:rsidR="00402A9D" w:rsidRPr="00CD550A">
        <w:t>Statistics Canada</w:t>
      </w:r>
      <w:r>
        <w:t>’s published</w:t>
      </w:r>
      <w:r w:rsidR="00402A9D">
        <w:t xml:space="preserve"> </w:t>
      </w:r>
      <w:r w:rsidR="00402A9D" w:rsidRPr="00CD550A">
        <w:t>oil and gas royalt</w:t>
      </w:r>
      <w:r w:rsidR="00402A9D">
        <w:t>y data</w:t>
      </w:r>
      <w:r w:rsidRPr="00060499">
        <w:rPr>
          <w:vertAlign w:val="superscript"/>
        </w:rPr>
        <w:fldChar w:fldCharType="begin"/>
      </w:r>
      <w:r w:rsidRPr="00060499">
        <w:rPr>
          <w:vertAlign w:val="superscript"/>
        </w:rPr>
        <w:instrText xml:space="preserve"> NOTEREF _Ref235436332 \h </w:instrText>
      </w:r>
      <w:r>
        <w:rPr>
          <w:vertAlign w:val="superscript"/>
        </w:rPr>
        <w:instrText xml:space="preserve"> \* MERGEFORMAT </w:instrText>
      </w:r>
      <w:r w:rsidRPr="00060499">
        <w:rPr>
          <w:vertAlign w:val="superscript"/>
        </w:rPr>
      </w:r>
      <w:r w:rsidRPr="00060499">
        <w:rPr>
          <w:vertAlign w:val="superscript"/>
        </w:rPr>
        <w:fldChar w:fldCharType="separate"/>
      </w:r>
      <w:r w:rsidRPr="00060499">
        <w:rPr>
          <w:vertAlign w:val="superscript"/>
        </w:rPr>
        <w:t>8</w:t>
      </w:r>
      <w:r w:rsidRPr="00060499">
        <w:rPr>
          <w:vertAlign w:val="superscript"/>
        </w:rPr>
        <w:fldChar w:fldCharType="end"/>
      </w:r>
      <w:r w:rsidR="00402A9D" w:rsidRPr="00060499">
        <w:rPr>
          <w:vertAlign w:val="superscript"/>
        </w:rPr>
        <w:t xml:space="preserve"> </w:t>
      </w:r>
      <w:r w:rsidR="00402A9D" w:rsidRPr="00CD550A">
        <w:t xml:space="preserve">includes payments that are not exclusively attributable to crude oil and natural gas production. </w:t>
      </w:r>
      <w:r w:rsidR="00702DA8">
        <w:t>F</w:t>
      </w:r>
      <w:r w:rsidR="00402A9D" w:rsidRPr="00CD550A">
        <w:t>or example, the reported royalties</w:t>
      </w:r>
      <w:r w:rsidR="00702DA8">
        <w:t xml:space="preserve"> for Alberta</w:t>
      </w:r>
      <w:r w:rsidR="00402A9D" w:rsidRPr="00CD550A">
        <w:t xml:space="preserve"> appear to include </w:t>
      </w:r>
      <w:r w:rsidR="00402A9D">
        <w:t>bitumen</w:t>
      </w:r>
      <w:r w:rsidR="00402A9D" w:rsidRPr="00CD550A">
        <w:t xml:space="preserve"> </w:t>
      </w:r>
      <w:r w:rsidR="00402A9D">
        <w:t>royalties</w:t>
      </w:r>
      <w:r w:rsidR="00402A9D" w:rsidRPr="00CD550A">
        <w:t>, which represent a substantial additional contribution.</w:t>
      </w:r>
      <w:r w:rsidR="00402A9D">
        <w:t xml:space="preserve"> </w:t>
      </w:r>
    </w:p>
    <w:p w14:paraId="766D3F0D" w14:textId="2EEA03CE" w:rsidR="00702DA8" w:rsidRDefault="00717BF0" w:rsidP="005A6F93">
      <w:pPr>
        <w:spacing w:afterLines="40" w:after="96" w:line="240" w:lineRule="auto"/>
      </w:pPr>
      <w:r>
        <w:t xml:space="preserve">Another </w:t>
      </w:r>
      <w:r w:rsidR="00060499">
        <w:t>reason may</w:t>
      </w:r>
      <w:r>
        <w:t xml:space="preserve"> be the d</w:t>
      </w:r>
      <w:r w:rsidR="00402A9D" w:rsidRPr="00CD550A">
        <w:t>ifferences in the treatment and classification of rent payments</w:t>
      </w:r>
      <w:r>
        <w:t>.</w:t>
      </w:r>
      <w:r w:rsidR="004B1D51">
        <w:t xml:space="preserve"> </w:t>
      </w:r>
      <w:r w:rsidR="00702DA8">
        <w:t xml:space="preserve">The definition of rent in </w:t>
      </w:r>
      <w:r>
        <w:t>Statistics Canada’s</w:t>
      </w:r>
      <w:r w:rsidR="004B1D51">
        <w:t xml:space="preserve"> GFS</w:t>
      </w:r>
      <w:r>
        <w:t xml:space="preserve"> </w:t>
      </w:r>
      <w:r w:rsidR="00F47366">
        <w:t>program includes</w:t>
      </w:r>
      <w:r w:rsidR="004B1D51">
        <w:t xml:space="preserve"> more than just royalties as it follow</w:t>
      </w:r>
      <w:r w:rsidR="009457DB">
        <w:t>s</w:t>
      </w:r>
      <w:r w:rsidR="004B1D51">
        <w:t xml:space="preserve"> </w:t>
      </w:r>
      <w:r w:rsidR="00702DA8">
        <w:t xml:space="preserve">the </w:t>
      </w:r>
      <w:r w:rsidR="004B1D51">
        <w:t xml:space="preserve">SNA, whereas CAPP uses a statistical survey that only </w:t>
      </w:r>
      <w:r w:rsidR="00702DA8">
        <w:t xml:space="preserve">captures </w:t>
      </w:r>
      <w:r w:rsidR="004B1D51">
        <w:t xml:space="preserve">royalty payments. </w:t>
      </w:r>
    </w:p>
    <w:p w14:paraId="3FC26788" w14:textId="1965EE22" w:rsidR="00402A9D" w:rsidRPr="00EB2FD3" w:rsidRDefault="004B1D51" w:rsidP="005A6F93">
      <w:pPr>
        <w:spacing w:afterLines="40" w:after="96" w:line="240" w:lineRule="auto"/>
      </w:pPr>
      <w:r>
        <w:lastRenderedPageBreak/>
        <w:t>This issue</w:t>
      </w:r>
      <w:r w:rsidR="00402A9D" w:rsidRPr="00CD550A">
        <w:t xml:space="preserve"> highlights the practical challenges that </w:t>
      </w:r>
      <w:r w:rsidR="00402A9D">
        <w:t xml:space="preserve">can </w:t>
      </w:r>
      <w:r w:rsidR="00402A9D" w:rsidRPr="00CD550A">
        <w:t xml:space="preserve">arise from </w:t>
      </w:r>
      <w:r w:rsidR="00C81D8C">
        <w:t>the varying interpretations of royalty reporting</w:t>
      </w:r>
      <w:r w:rsidR="00402A9D" w:rsidRPr="00CD550A">
        <w:t xml:space="preserve"> across jurisdictions and data sources.</w:t>
      </w:r>
      <w:r w:rsidR="00402A9D">
        <w:t xml:space="preserve"> As demonstrated by the results </w:t>
      </w:r>
      <w:r w:rsidR="0019514B">
        <w:t>below</w:t>
      </w:r>
      <w:r w:rsidR="00402A9D">
        <w:t>, t</w:t>
      </w:r>
      <w:r w:rsidR="00402A9D" w:rsidRPr="00CD550A">
        <w:t xml:space="preserve">his inconsistency </w:t>
      </w:r>
      <w:r w:rsidR="00402A9D" w:rsidRPr="00506C59">
        <w:t>affects the estimated provincial share of resource asset values</w:t>
      </w:r>
      <w:r w:rsidR="00402A9D">
        <w:t xml:space="preserve">. </w:t>
      </w:r>
    </w:p>
    <w:p w14:paraId="512BAC7E" w14:textId="77777777" w:rsidR="00402A9D" w:rsidRDefault="00402A9D" w:rsidP="00402A9D">
      <w:pPr>
        <w:spacing w:afterLines="40" w:after="96" w:line="240" w:lineRule="auto"/>
        <w:rPr>
          <w:sz w:val="20"/>
          <w:szCs w:val="20"/>
        </w:rPr>
      </w:pPr>
    </w:p>
    <w:p w14:paraId="732118EA" w14:textId="47BC3D5E" w:rsidR="00636ACB" w:rsidRDefault="00402A9D" w:rsidP="00402A9D">
      <w:pPr>
        <w:spacing w:after="0" w:line="240" w:lineRule="auto"/>
        <w:rPr>
          <w:b/>
          <w:bCs/>
          <w:sz w:val="20"/>
          <w:szCs w:val="20"/>
        </w:rPr>
      </w:pPr>
      <w:r w:rsidRPr="00903F29">
        <w:rPr>
          <w:b/>
          <w:bCs/>
          <w:sz w:val="20"/>
          <w:szCs w:val="20"/>
        </w:rPr>
        <w:t xml:space="preserve">Table </w:t>
      </w:r>
      <w:r>
        <w:rPr>
          <w:b/>
          <w:bCs/>
          <w:sz w:val="20"/>
          <w:szCs w:val="20"/>
        </w:rPr>
        <w:t>1</w:t>
      </w:r>
    </w:p>
    <w:p w14:paraId="13853EF5" w14:textId="1B8B0F8D" w:rsidR="00402A9D" w:rsidRPr="00903F29" w:rsidRDefault="00A5336D" w:rsidP="00402A9D">
      <w:pPr>
        <w:spacing w:after="0" w:line="240" w:lineRule="auto"/>
        <w:rPr>
          <w:b/>
          <w:bCs/>
          <w:sz w:val="20"/>
          <w:szCs w:val="20"/>
        </w:rPr>
      </w:pPr>
      <w:r>
        <w:rPr>
          <w:b/>
          <w:bCs/>
          <w:sz w:val="20"/>
          <w:szCs w:val="20"/>
        </w:rPr>
        <w:t>Allocation</w:t>
      </w:r>
      <w:r w:rsidR="00402A9D" w:rsidRPr="00903F29">
        <w:rPr>
          <w:b/>
          <w:bCs/>
          <w:sz w:val="20"/>
          <w:szCs w:val="20"/>
        </w:rPr>
        <w:t xml:space="preserve"> of </w:t>
      </w:r>
      <w:r w:rsidR="00DF309A">
        <w:rPr>
          <w:b/>
          <w:bCs/>
          <w:sz w:val="20"/>
          <w:szCs w:val="20"/>
        </w:rPr>
        <w:t xml:space="preserve">crude oil and natural gas </w:t>
      </w:r>
      <w:r w:rsidR="003929C4">
        <w:rPr>
          <w:b/>
          <w:bCs/>
          <w:sz w:val="20"/>
          <w:szCs w:val="20"/>
        </w:rPr>
        <w:t>present value on net price I,</w:t>
      </w:r>
      <w:r>
        <w:rPr>
          <w:b/>
          <w:bCs/>
          <w:sz w:val="20"/>
          <w:szCs w:val="20"/>
        </w:rPr>
        <w:t xml:space="preserve"> by economic owners</w:t>
      </w:r>
      <w:r w:rsidR="003929C4">
        <w:rPr>
          <w:b/>
          <w:bCs/>
          <w:sz w:val="20"/>
          <w:szCs w:val="20"/>
        </w:rPr>
        <w:t>,</w:t>
      </w:r>
      <w:r>
        <w:rPr>
          <w:b/>
          <w:bCs/>
          <w:sz w:val="20"/>
          <w:szCs w:val="20"/>
        </w:rPr>
        <w:t xml:space="preserve"> using StatCan royalty data</w:t>
      </w:r>
      <w:r w:rsidR="003929C4">
        <w:rPr>
          <w:b/>
          <w:bCs/>
          <w:sz w:val="20"/>
          <w:szCs w:val="20"/>
        </w:rPr>
        <w:t>, 2010 to 2020</w:t>
      </w:r>
      <w:r w:rsidR="00402A9D" w:rsidRPr="00903F29">
        <w:rPr>
          <w:b/>
          <w:bCs/>
          <w:sz w:val="20"/>
          <w:szCs w:val="20"/>
        </w:rPr>
        <w:t xml:space="preserve"> </w:t>
      </w:r>
    </w:p>
    <w:tbl>
      <w:tblPr>
        <w:tblW w:w="9228" w:type="dxa"/>
        <w:tblLook w:val="04A0" w:firstRow="1" w:lastRow="0" w:firstColumn="1" w:lastColumn="0" w:noHBand="0" w:noVBand="1"/>
      </w:tblPr>
      <w:tblGrid>
        <w:gridCol w:w="1480"/>
        <w:gridCol w:w="1480"/>
        <w:gridCol w:w="2478"/>
        <w:gridCol w:w="2607"/>
        <w:gridCol w:w="1219"/>
      </w:tblGrid>
      <w:tr w:rsidR="00402A9D" w:rsidRPr="008370DE" w14:paraId="2D2C32E8" w14:textId="77777777" w:rsidTr="00636ACB">
        <w:trPr>
          <w:trHeight w:val="780"/>
        </w:trPr>
        <w:tc>
          <w:tcPr>
            <w:tcW w:w="1480" w:type="dxa"/>
            <w:tcBorders>
              <w:top w:val="single" w:sz="4" w:space="0" w:color="auto"/>
              <w:left w:val="single" w:sz="4" w:space="0" w:color="auto"/>
              <w:bottom w:val="single" w:sz="4" w:space="0" w:color="auto"/>
              <w:right w:val="single" w:sz="4" w:space="0" w:color="auto"/>
            </w:tcBorders>
            <w:noWrap/>
            <w:vAlign w:val="bottom"/>
            <w:hideMark/>
          </w:tcPr>
          <w:p w14:paraId="79CD0708" w14:textId="77777777" w:rsidR="00402A9D" w:rsidRPr="008370DE" w:rsidRDefault="00402A9D" w:rsidP="00FE04FC">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 </w:t>
            </w:r>
          </w:p>
        </w:tc>
        <w:tc>
          <w:tcPr>
            <w:tcW w:w="1480" w:type="dxa"/>
            <w:tcBorders>
              <w:top w:val="single" w:sz="4" w:space="0" w:color="auto"/>
              <w:left w:val="nil"/>
              <w:bottom w:val="single" w:sz="4" w:space="0" w:color="auto"/>
              <w:right w:val="single" w:sz="4" w:space="0" w:color="auto"/>
            </w:tcBorders>
            <w:vAlign w:val="center"/>
            <w:hideMark/>
          </w:tcPr>
          <w:p w14:paraId="4993A96E" w14:textId="7682F624" w:rsidR="00402A9D" w:rsidRPr="008370DE" w:rsidRDefault="00402A9D" w:rsidP="00FE04FC">
            <w:pPr>
              <w:spacing w:after="0" w:line="240" w:lineRule="auto"/>
              <w:jc w:val="center"/>
              <w:rPr>
                <w:rFonts w:eastAsia="Times New Roman" w:cstheme="minorHAnsi"/>
                <w:b/>
                <w:bCs/>
                <w:sz w:val="20"/>
                <w:szCs w:val="20"/>
                <w:lang w:eastAsia="en-CA"/>
              </w:rPr>
            </w:pPr>
            <w:r w:rsidRPr="008370DE">
              <w:rPr>
                <w:rFonts w:eastAsia="Times New Roman" w:cstheme="minorHAnsi"/>
                <w:b/>
                <w:bCs/>
                <w:sz w:val="20"/>
                <w:szCs w:val="20"/>
                <w:lang w:eastAsia="en-CA"/>
              </w:rPr>
              <w:t xml:space="preserve">Present </w:t>
            </w:r>
            <w:r w:rsidR="00636ACB" w:rsidRPr="008370DE">
              <w:rPr>
                <w:rFonts w:eastAsia="Times New Roman" w:cstheme="minorHAnsi"/>
                <w:b/>
                <w:bCs/>
                <w:sz w:val="20"/>
                <w:szCs w:val="20"/>
                <w:lang w:eastAsia="en-CA"/>
              </w:rPr>
              <w:t>v</w:t>
            </w:r>
            <w:r w:rsidRPr="008370DE">
              <w:rPr>
                <w:rFonts w:eastAsia="Times New Roman" w:cstheme="minorHAnsi"/>
                <w:b/>
                <w:bCs/>
                <w:sz w:val="20"/>
                <w:szCs w:val="20"/>
                <w:lang w:eastAsia="en-CA"/>
              </w:rPr>
              <w:t xml:space="preserve">alue (on </w:t>
            </w:r>
            <w:r w:rsidR="00176FC5">
              <w:rPr>
                <w:rFonts w:eastAsia="Times New Roman" w:cstheme="minorHAnsi"/>
                <w:b/>
                <w:bCs/>
                <w:sz w:val="20"/>
                <w:szCs w:val="20"/>
                <w:lang w:eastAsia="en-CA"/>
              </w:rPr>
              <w:t>n</w:t>
            </w:r>
            <w:r w:rsidRPr="008370DE">
              <w:rPr>
                <w:rFonts w:eastAsia="Times New Roman" w:cstheme="minorHAnsi"/>
                <w:b/>
                <w:bCs/>
                <w:sz w:val="20"/>
                <w:szCs w:val="20"/>
                <w:lang w:eastAsia="en-CA"/>
              </w:rPr>
              <w:t xml:space="preserve">et </w:t>
            </w:r>
            <w:r w:rsidR="00176FC5">
              <w:rPr>
                <w:rFonts w:eastAsia="Times New Roman" w:cstheme="minorHAnsi"/>
                <w:b/>
                <w:bCs/>
                <w:sz w:val="20"/>
                <w:szCs w:val="20"/>
                <w:lang w:eastAsia="en-CA"/>
              </w:rPr>
              <w:t>p</w:t>
            </w:r>
            <w:r w:rsidRPr="008370DE">
              <w:rPr>
                <w:rFonts w:eastAsia="Times New Roman" w:cstheme="minorHAnsi"/>
                <w:b/>
                <w:bCs/>
                <w:sz w:val="20"/>
                <w:szCs w:val="20"/>
                <w:lang w:eastAsia="en-CA"/>
              </w:rPr>
              <w:t>rice I</w:t>
            </w:r>
            <w:bookmarkStart w:id="3" w:name="_Ref234931629"/>
            <w:r w:rsidR="00D62A68" w:rsidRPr="008370DE">
              <w:rPr>
                <w:rStyle w:val="FootnoteReference"/>
                <w:rFonts w:eastAsia="Times New Roman" w:cstheme="minorHAnsi"/>
                <w:b/>
                <w:bCs/>
                <w:sz w:val="20"/>
                <w:szCs w:val="20"/>
                <w:lang w:eastAsia="en-CA"/>
              </w:rPr>
              <w:footnoteReference w:id="10"/>
            </w:r>
            <w:bookmarkEnd w:id="3"/>
            <w:r w:rsidRPr="008370DE">
              <w:rPr>
                <w:rFonts w:eastAsia="Times New Roman" w:cstheme="minorHAnsi"/>
                <w:b/>
                <w:bCs/>
                <w:sz w:val="20"/>
                <w:szCs w:val="20"/>
                <w:lang w:eastAsia="en-CA"/>
              </w:rPr>
              <w:t>)</w:t>
            </w:r>
          </w:p>
        </w:tc>
        <w:tc>
          <w:tcPr>
            <w:tcW w:w="6268" w:type="dxa"/>
            <w:gridSpan w:val="3"/>
            <w:tcBorders>
              <w:top w:val="single" w:sz="4" w:space="0" w:color="auto"/>
              <w:left w:val="nil"/>
              <w:bottom w:val="single" w:sz="4" w:space="0" w:color="auto"/>
              <w:right w:val="single" w:sz="4" w:space="0" w:color="000000"/>
            </w:tcBorders>
            <w:vAlign w:val="center"/>
            <w:hideMark/>
          </w:tcPr>
          <w:p w14:paraId="40D7AD9D" w14:textId="5AB395FA" w:rsidR="00402A9D" w:rsidRPr="008370DE" w:rsidRDefault="00402A9D" w:rsidP="00FE04FC">
            <w:pPr>
              <w:spacing w:after="0" w:line="240" w:lineRule="auto"/>
              <w:jc w:val="center"/>
              <w:rPr>
                <w:rFonts w:eastAsia="Times New Roman" w:cstheme="minorHAnsi"/>
                <w:b/>
                <w:bCs/>
                <w:sz w:val="20"/>
                <w:szCs w:val="20"/>
                <w:lang w:eastAsia="en-CA"/>
              </w:rPr>
            </w:pPr>
            <w:r w:rsidRPr="008370DE">
              <w:rPr>
                <w:rFonts w:eastAsia="Times New Roman" w:cstheme="minorHAnsi"/>
                <w:b/>
                <w:bCs/>
                <w:sz w:val="20"/>
                <w:szCs w:val="20"/>
                <w:lang w:eastAsia="en-CA"/>
              </w:rPr>
              <w:t xml:space="preserve"> S</w:t>
            </w:r>
            <w:r w:rsidR="00F00CAE" w:rsidRPr="008370DE">
              <w:rPr>
                <w:rFonts w:eastAsia="Times New Roman" w:cstheme="minorHAnsi"/>
                <w:b/>
                <w:bCs/>
                <w:sz w:val="20"/>
                <w:szCs w:val="20"/>
                <w:lang w:eastAsia="en-CA"/>
              </w:rPr>
              <w:t>plit ownership</w:t>
            </w:r>
            <w:r w:rsidRPr="008370DE">
              <w:rPr>
                <w:rFonts w:eastAsia="Times New Roman" w:cstheme="minorHAnsi"/>
                <w:b/>
                <w:bCs/>
                <w:sz w:val="20"/>
                <w:szCs w:val="20"/>
                <w:lang w:eastAsia="en-CA"/>
              </w:rPr>
              <w:t xml:space="preserve"> of</w:t>
            </w:r>
            <w:r w:rsidR="009457DB" w:rsidRPr="008370DE">
              <w:rPr>
                <w:rFonts w:eastAsia="Times New Roman" w:cstheme="minorHAnsi"/>
                <w:b/>
                <w:bCs/>
                <w:sz w:val="20"/>
                <w:szCs w:val="20"/>
                <w:lang w:eastAsia="en-CA"/>
              </w:rPr>
              <w:t xml:space="preserve"> value</w:t>
            </w:r>
            <w:r w:rsidRPr="008370DE">
              <w:rPr>
                <w:rFonts w:eastAsia="Times New Roman" w:cstheme="minorHAnsi"/>
                <w:b/>
                <w:bCs/>
                <w:sz w:val="20"/>
                <w:szCs w:val="20"/>
                <w:lang w:eastAsia="en-CA"/>
              </w:rPr>
              <w:t xml:space="preserve"> </w:t>
            </w:r>
          </w:p>
        </w:tc>
      </w:tr>
      <w:tr w:rsidR="00402A9D" w:rsidRPr="008370DE" w14:paraId="4D474AA5"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13A9C414" w14:textId="527C0233" w:rsidR="00402A9D" w:rsidRPr="008370DE" w:rsidRDefault="007C7849" w:rsidP="00C46799">
            <w:pPr>
              <w:spacing w:after="0" w:line="240" w:lineRule="auto"/>
              <w:rPr>
                <w:rFonts w:eastAsia="Times New Roman" w:cstheme="minorHAnsi"/>
                <w:b/>
                <w:bCs/>
                <w:sz w:val="20"/>
                <w:szCs w:val="20"/>
                <w:lang w:eastAsia="en-CA"/>
              </w:rPr>
            </w:pPr>
            <w:r w:rsidRPr="008370DE">
              <w:rPr>
                <w:rFonts w:eastAsia="Times New Roman" w:cstheme="minorHAnsi"/>
                <w:b/>
                <w:bCs/>
                <w:sz w:val="20"/>
                <w:szCs w:val="20"/>
                <w:lang w:eastAsia="en-CA"/>
              </w:rPr>
              <w:t>Year</w:t>
            </w:r>
          </w:p>
        </w:tc>
        <w:tc>
          <w:tcPr>
            <w:tcW w:w="1480" w:type="dxa"/>
            <w:tcBorders>
              <w:top w:val="nil"/>
              <w:left w:val="nil"/>
              <w:bottom w:val="single" w:sz="4" w:space="0" w:color="auto"/>
              <w:right w:val="single" w:sz="4" w:space="0" w:color="auto"/>
            </w:tcBorders>
            <w:noWrap/>
            <w:vAlign w:val="bottom"/>
            <w:hideMark/>
          </w:tcPr>
          <w:p w14:paraId="72D3E5EA" w14:textId="7A6D4374" w:rsidR="00402A9D" w:rsidRPr="008370DE" w:rsidRDefault="007C7849" w:rsidP="00C46799">
            <w:pPr>
              <w:spacing w:after="0" w:line="240" w:lineRule="auto"/>
              <w:jc w:val="right"/>
              <w:rPr>
                <w:rFonts w:eastAsia="Times New Roman" w:cstheme="minorHAnsi"/>
                <w:b/>
                <w:bCs/>
                <w:sz w:val="20"/>
                <w:szCs w:val="20"/>
                <w:lang w:eastAsia="en-CA"/>
              </w:rPr>
            </w:pPr>
            <w:r w:rsidRPr="008370DE">
              <w:rPr>
                <w:rFonts w:eastAsia="Times New Roman" w:cstheme="minorHAnsi"/>
                <w:b/>
                <w:bCs/>
                <w:sz w:val="20"/>
                <w:szCs w:val="20"/>
                <w:lang w:eastAsia="en-CA"/>
              </w:rPr>
              <w:t>Total</w:t>
            </w:r>
          </w:p>
        </w:tc>
        <w:tc>
          <w:tcPr>
            <w:tcW w:w="2478" w:type="dxa"/>
            <w:tcBorders>
              <w:top w:val="nil"/>
              <w:left w:val="nil"/>
              <w:bottom w:val="single" w:sz="4" w:space="0" w:color="auto"/>
              <w:right w:val="single" w:sz="4" w:space="0" w:color="auto"/>
            </w:tcBorders>
            <w:noWrap/>
            <w:vAlign w:val="bottom"/>
            <w:hideMark/>
          </w:tcPr>
          <w:p w14:paraId="46283A1E" w14:textId="10D54F4F" w:rsidR="00402A9D" w:rsidRPr="008370DE" w:rsidRDefault="00402A9D" w:rsidP="00C46799">
            <w:pPr>
              <w:spacing w:after="0" w:line="240" w:lineRule="auto"/>
              <w:jc w:val="right"/>
              <w:rPr>
                <w:rFonts w:eastAsia="Times New Roman" w:cstheme="minorHAnsi"/>
                <w:b/>
                <w:bCs/>
                <w:sz w:val="20"/>
                <w:szCs w:val="20"/>
                <w:lang w:eastAsia="en-CA"/>
              </w:rPr>
            </w:pPr>
            <w:r w:rsidRPr="008370DE">
              <w:rPr>
                <w:rFonts w:eastAsia="Times New Roman" w:cstheme="minorHAnsi"/>
                <w:b/>
                <w:bCs/>
                <w:sz w:val="20"/>
                <w:szCs w:val="20"/>
                <w:lang w:eastAsia="en-CA"/>
              </w:rPr>
              <w:t>Federal</w:t>
            </w:r>
          </w:p>
        </w:tc>
        <w:tc>
          <w:tcPr>
            <w:tcW w:w="2607" w:type="dxa"/>
            <w:tcBorders>
              <w:top w:val="nil"/>
              <w:left w:val="nil"/>
              <w:bottom w:val="single" w:sz="4" w:space="0" w:color="auto"/>
              <w:right w:val="single" w:sz="4" w:space="0" w:color="auto"/>
            </w:tcBorders>
            <w:noWrap/>
            <w:vAlign w:val="bottom"/>
            <w:hideMark/>
          </w:tcPr>
          <w:p w14:paraId="104A7156" w14:textId="0987066C" w:rsidR="00402A9D" w:rsidRPr="008370DE" w:rsidRDefault="001A13B9" w:rsidP="00C46799">
            <w:pPr>
              <w:spacing w:after="0" w:line="240" w:lineRule="auto"/>
              <w:jc w:val="right"/>
              <w:rPr>
                <w:rFonts w:eastAsia="Times New Roman" w:cstheme="minorHAnsi"/>
                <w:b/>
                <w:bCs/>
                <w:sz w:val="20"/>
                <w:szCs w:val="20"/>
                <w:lang w:eastAsia="en-CA"/>
              </w:rPr>
            </w:pPr>
            <w:r w:rsidRPr="006357BC">
              <w:rPr>
                <w:rFonts w:eastAsia="Times New Roman" w:cstheme="minorHAnsi"/>
                <w:b/>
                <w:bCs/>
                <w:color w:val="000000"/>
                <w:sz w:val="20"/>
                <w:szCs w:val="20"/>
                <w:lang w:eastAsia="en-CA"/>
              </w:rPr>
              <w:t>Provincial/Territorial</w:t>
            </w:r>
          </w:p>
        </w:tc>
        <w:tc>
          <w:tcPr>
            <w:tcW w:w="1183" w:type="dxa"/>
            <w:tcBorders>
              <w:top w:val="nil"/>
              <w:left w:val="nil"/>
              <w:bottom w:val="single" w:sz="4" w:space="0" w:color="auto"/>
              <w:right w:val="single" w:sz="4" w:space="0" w:color="auto"/>
            </w:tcBorders>
            <w:noWrap/>
            <w:vAlign w:val="bottom"/>
            <w:hideMark/>
          </w:tcPr>
          <w:p w14:paraId="12EA9AF4" w14:textId="77777777" w:rsidR="00402A9D" w:rsidRPr="008370DE" w:rsidRDefault="00402A9D" w:rsidP="00C46799">
            <w:pPr>
              <w:spacing w:after="0" w:line="240" w:lineRule="auto"/>
              <w:jc w:val="right"/>
              <w:rPr>
                <w:rFonts w:eastAsia="Times New Roman" w:cstheme="minorHAnsi"/>
                <w:b/>
                <w:bCs/>
                <w:sz w:val="20"/>
                <w:szCs w:val="20"/>
                <w:lang w:eastAsia="en-CA"/>
              </w:rPr>
            </w:pPr>
            <w:r w:rsidRPr="008370DE">
              <w:rPr>
                <w:rFonts w:eastAsia="Times New Roman" w:cstheme="minorHAnsi"/>
                <w:b/>
                <w:bCs/>
                <w:sz w:val="20"/>
                <w:szCs w:val="20"/>
                <w:lang w:eastAsia="en-CA"/>
              </w:rPr>
              <w:t>Corporation</w:t>
            </w:r>
          </w:p>
        </w:tc>
      </w:tr>
      <w:tr w:rsidR="00636ACB" w:rsidRPr="008370DE" w14:paraId="558B5B7F"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43078B23" w14:textId="77777777" w:rsidR="00636ACB" w:rsidRPr="008370DE" w:rsidRDefault="00636ACB" w:rsidP="00FE04FC">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 </w:t>
            </w:r>
          </w:p>
        </w:tc>
        <w:tc>
          <w:tcPr>
            <w:tcW w:w="7748" w:type="dxa"/>
            <w:gridSpan w:val="4"/>
            <w:tcBorders>
              <w:top w:val="nil"/>
              <w:left w:val="nil"/>
              <w:bottom w:val="single" w:sz="4" w:space="0" w:color="auto"/>
              <w:right w:val="single" w:sz="4" w:space="0" w:color="auto"/>
            </w:tcBorders>
            <w:noWrap/>
            <w:vAlign w:val="bottom"/>
            <w:hideMark/>
          </w:tcPr>
          <w:p w14:paraId="17DEB325" w14:textId="649D4769" w:rsidR="00636ACB" w:rsidRPr="008370DE" w:rsidRDefault="00636ACB" w:rsidP="00FE04FC">
            <w:pPr>
              <w:spacing w:after="0" w:line="240" w:lineRule="auto"/>
              <w:jc w:val="center"/>
              <w:rPr>
                <w:rFonts w:eastAsia="Times New Roman" w:cstheme="minorHAnsi"/>
                <w:sz w:val="20"/>
                <w:szCs w:val="20"/>
                <w:lang w:eastAsia="en-CA"/>
              </w:rPr>
            </w:pPr>
            <w:r w:rsidRPr="008370DE">
              <w:rPr>
                <w:rFonts w:eastAsia="Times New Roman" w:cstheme="minorHAnsi"/>
                <w:sz w:val="20"/>
                <w:szCs w:val="20"/>
                <w:lang w:eastAsia="en-CA"/>
              </w:rPr>
              <w:t>millions of Canadian dollars</w:t>
            </w:r>
          </w:p>
        </w:tc>
      </w:tr>
      <w:tr w:rsidR="00402A9D" w:rsidRPr="008370DE" w14:paraId="3DAAF8AE"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5E41F4CC"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2010</w:t>
            </w:r>
          </w:p>
        </w:tc>
        <w:tc>
          <w:tcPr>
            <w:tcW w:w="1480" w:type="dxa"/>
            <w:tcBorders>
              <w:top w:val="nil"/>
              <w:left w:val="nil"/>
              <w:bottom w:val="single" w:sz="4" w:space="0" w:color="auto"/>
              <w:right w:val="single" w:sz="4" w:space="0" w:color="auto"/>
            </w:tcBorders>
            <w:noWrap/>
            <w:vAlign w:val="bottom"/>
            <w:hideMark/>
          </w:tcPr>
          <w:p w14:paraId="235911E6"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169,004</w:t>
            </w:r>
          </w:p>
        </w:tc>
        <w:tc>
          <w:tcPr>
            <w:tcW w:w="2478" w:type="dxa"/>
            <w:tcBorders>
              <w:top w:val="nil"/>
              <w:left w:val="nil"/>
              <w:bottom w:val="single" w:sz="4" w:space="0" w:color="auto"/>
              <w:right w:val="single" w:sz="4" w:space="0" w:color="auto"/>
            </w:tcBorders>
            <w:noWrap/>
            <w:vAlign w:val="bottom"/>
            <w:hideMark/>
          </w:tcPr>
          <w:p w14:paraId="2B106B97"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13,523</w:t>
            </w:r>
          </w:p>
        </w:tc>
        <w:tc>
          <w:tcPr>
            <w:tcW w:w="2607" w:type="dxa"/>
            <w:tcBorders>
              <w:top w:val="nil"/>
              <w:left w:val="nil"/>
              <w:bottom w:val="single" w:sz="4" w:space="0" w:color="auto"/>
              <w:right w:val="single" w:sz="4" w:space="0" w:color="auto"/>
            </w:tcBorders>
            <w:noWrap/>
            <w:vAlign w:val="bottom"/>
            <w:hideMark/>
          </w:tcPr>
          <w:p w14:paraId="2FFC3AD3"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141,031</w:t>
            </w:r>
          </w:p>
        </w:tc>
        <w:tc>
          <w:tcPr>
            <w:tcW w:w="1183" w:type="dxa"/>
            <w:tcBorders>
              <w:top w:val="nil"/>
              <w:left w:val="nil"/>
              <w:bottom w:val="single" w:sz="4" w:space="0" w:color="auto"/>
              <w:right w:val="single" w:sz="4" w:space="0" w:color="auto"/>
            </w:tcBorders>
            <w:noWrap/>
            <w:vAlign w:val="bottom"/>
            <w:hideMark/>
          </w:tcPr>
          <w:p w14:paraId="7A69889D"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14,449</w:t>
            </w:r>
          </w:p>
        </w:tc>
      </w:tr>
      <w:tr w:rsidR="00402A9D" w:rsidRPr="008370DE" w14:paraId="5733CB92"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6312F89C"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2011</w:t>
            </w:r>
          </w:p>
        </w:tc>
        <w:tc>
          <w:tcPr>
            <w:tcW w:w="1480" w:type="dxa"/>
            <w:tcBorders>
              <w:top w:val="nil"/>
              <w:left w:val="nil"/>
              <w:bottom w:val="single" w:sz="4" w:space="0" w:color="auto"/>
              <w:right w:val="single" w:sz="4" w:space="0" w:color="auto"/>
            </w:tcBorders>
            <w:noWrap/>
            <w:vAlign w:val="bottom"/>
            <w:hideMark/>
          </w:tcPr>
          <w:p w14:paraId="69D86ADC"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258,007</w:t>
            </w:r>
          </w:p>
        </w:tc>
        <w:tc>
          <w:tcPr>
            <w:tcW w:w="2478" w:type="dxa"/>
            <w:tcBorders>
              <w:top w:val="nil"/>
              <w:left w:val="nil"/>
              <w:bottom w:val="single" w:sz="4" w:space="0" w:color="auto"/>
              <w:right w:val="single" w:sz="4" w:space="0" w:color="auto"/>
            </w:tcBorders>
            <w:noWrap/>
            <w:vAlign w:val="bottom"/>
            <w:hideMark/>
          </w:tcPr>
          <w:p w14:paraId="2E88733B"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12,711</w:t>
            </w:r>
          </w:p>
        </w:tc>
        <w:tc>
          <w:tcPr>
            <w:tcW w:w="2607" w:type="dxa"/>
            <w:tcBorders>
              <w:top w:val="nil"/>
              <w:left w:val="nil"/>
              <w:bottom w:val="single" w:sz="4" w:space="0" w:color="auto"/>
              <w:right w:val="single" w:sz="4" w:space="0" w:color="auto"/>
            </w:tcBorders>
            <w:noWrap/>
            <w:vAlign w:val="bottom"/>
            <w:hideMark/>
          </w:tcPr>
          <w:p w14:paraId="43B97B32"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165,047</w:t>
            </w:r>
          </w:p>
        </w:tc>
        <w:tc>
          <w:tcPr>
            <w:tcW w:w="1183" w:type="dxa"/>
            <w:tcBorders>
              <w:top w:val="nil"/>
              <w:left w:val="nil"/>
              <w:bottom w:val="single" w:sz="4" w:space="0" w:color="auto"/>
              <w:right w:val="single" w:sz="4" w:space="0" w:color="auto"/>
            </w:tcBorders>
            <w:noWrap/>
            <w:vAlign w:val="bottom"/>
            <w:hideMark/>
          </w:tcPr>
          <w:p w14:paraId="3DB8020F"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80,249</w:t>
            </w:r>
          </w:p>
        </w:tc>
      </w:tr>
      <w:tr w:rsidR="00402A9D" w:rsidRPr="008370DE" w14:paraId="0A401B0C"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79157CDF"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2012</w:t>
            </w:r>
          </w:p>
        </w:tc>
        <w:tc>
          <w:tcPr>
            <w:tcW w:w="1480" w:type="dxa"/>
            <w:tcBorders>
              <w:top w:val="nil"/>
              <w:left w:val="nil"/>
              <w:bottom w:val="single" w:sz="4" w:space="0" w:color="auto"/>
              <w:right w:val="single" w:sz="4" w:space="0" w:color="auto"/>
            </w:tcBorders>
            <w:noWrap/>
            <w:vAlign w:val="bottom"/>
            <w:hideMark/>
          </w:tcPr>
          <w:p w14:paraId="4864793D"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136,921</w:t>
            </w:r>
          </w:p>
        </w:tc>
        <w:tc>
          <w:tcPr>
            <w:tcW w:w="2478" w:type="dxa"/>
            <w:tcBorders>
              <w:top w:val="nil"/>
              <w:left w:val="nil"/>
              <w:bottom w:val="single" w:sz="4" w:space="0" w:color="auto"/>
              <w:right w:val="single" w:sz="4" w:space="0" w:color="auto"/>
            </w:tcBorders>
            <w:noWrap/>
            <w:vAlign w:val="bottom"/>
            <w:hideMark/>
          </w:tcPr>
          <w:p w14:paraId="518BE74F"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7,061</w:t>
            </w:r>
          </w:p>
        </w:tc>
        <w:tc>
          <w:tcPr>
            <w:tcW w:w="2607" w:type="dxa"/>
            <w:tcBorders>
              <w:top w:val="nil"/>
              <w:left w:val="nil"/>
              <w:bottom w:val="single" w:sz="4" w:space="0" w:color="auto"/>
              <w:right w:val="single" w:sz="4" w:space="0" w:color="auto"/>
            </w:tcBorders>
            <w:noWrap/>
            <w:vAlign w:val="bottom"/>
            <w:hideMark/>
          </w:tcPr>
          <w:p w14:paraId="7F35ACD8"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119,802</w:t>
            </w:r>
          </w:p>
        </w:tc>
        <w:tc>
          <w:tcPr>
            <w:tcW w:w="1183" w:type="dxa"/>
            <w:tcBorders>
              <w:top w:val="nil"/>
              <w:left w:val="nil"/>
              <w:bottom w:val="single" w:sz="4" w:space="0" w:color="auto"/>
              <w:right w:val="single" w:sz="4" w:space="0" w:color="auto"/>
            </w:tcBorders>
            <w:noWrap/>
            <w:vAlign w:val="bottom"/>
            <w:hideMark/>
          </w:tcPr>
          <w:p w14:paraId="4934D0EE"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10,058</w:t>
            </w:r>
          </w:p>
        </w:tc>
      </w:tr>
      <w:tr w:rsidR="00402A9D" w:rsidRPr="008370DE" w14:paraId="69E021AA"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585A5401"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2013</w:t>
            </w:r>
          </w:p>
        </w:tc>
        <w:tc>
          <w:tcPr>
            <w:tcW w:w="1480" w:type="dxa"/>
            <w:tcBorders>
              <w:top w:val="nil"/>
              <w:left w:val="nil"/>
              <w:bottom w:val="single" w:sz="4" w:space="0" w:color="auto"/>
              <w:right w:val="single" w:sz="4" w:space="0" w:color="auto"/>
            </w:tcBorders>
            <w:noWrap/>
            <w:vAlign w:val="bottom"/>
            <w:hideMark/>
          </w:tcPr>
          <w:p w14:paraId="1C55907E"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140,245</w:t>
            </w:r>
          </w:p>
        </w:tc>
        <w:tc>
          <w:tcPr>
            <w:tcW w:w="2478" w:type="dxa"/>
            <w:tcBorders>
              <w:top w:val="nil"/>
              <w:left w:val="nil"/>
              <w:bottom w:val="single" w:sz="4" w:space="0" w:color="auto"/>
              <w:right w:val="single" w:sz="4" w:space="0" w:color="auto"/>
            </w:tcBorders>
            <w:noWrap/>
            <w:vAlign w:val="bottom"/>
            <w:hideMark/>
          </w:tcPr>
          <w:p w14:paraId="1994FB5B"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8,313</w:t>
            </w:r>
          </w:p>
        </w:tc>
        <w:tc>
          <w:tcPr>
            <w:tcW w:w="2607" w:type="dxa"/>
            <w:tcBorders>
              <w:top w:val="nil"/>
              <w:left w:val="nil"/>
              <w:bottom w:val="single" w:sz="4" w:space="0" w:color="auto"/>
              <w:right w:val="single" w:sz="4" w:space="0" w:color="auto"/>
            </w:tcBorders>
            <w:noWrap/>
            <w:vAlign w:val="bottom"/>
            <w:hideMark/>
          </w:tcPr>
          <w:p w14:paraId="037B93C6"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147,318</w:t>
            </w:r>
          </w:p>
        </w:tc>
        <w:tc>
          <w:tcPr>
            <w:tcW w:w="1183" w:type="dxa"/>
            <w:tcBorders>
              <w:top w:val="nil"/>
              <w:left w:val="nil"/>
              <w:bottom w:val="single" w:sz="4" w:space="0" w:color="auto"/>
              <w:right w:val="single" w:sz="4" w:space="0" w:color="auto"/>
            </w:tcBorders>
            <w:noWrap/>
            <w:vAlign w:val="bottom"/>
            <w:hideMark/>
          </w:tcPr>
          <w:p w14:paraId="36E0D1DF"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color w:val="FF0000"/>
                <w:sz w:val="20"/>
                <w:szCs w:val="20"/>
                <w:lang w:eastAsia="en-CA"/>
              </w:rPr>
              <w:t>-15,386</w:t>
            </w:r>
          </w:p>
        </w:tc>
      </w:tr>
      <w:tr w:rsidR="00402A9D" w:rsidRPr="008370DE" w14:paraId="6FF8E52B"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567865CD"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2014</w:t>
            </w:r>
          </w:p>
        </w:tc>
        <w:tc>
          <w:tcPr>
            <w:tcW w:w="1480" w:type="dxa"/>
            <w:tcBorders>
              <w:top w:val="nil"/>
              <w:left w:val="nil"/>
              <w:bottom w:val="single" w:sz="4" w:space="0" w:color="auto"/>
              <w:right w:val="single" w:sz="4" w:space="0" w:color="auto"/>
            </w:tcBorders>
            <w:noWrap/>
            <w:vAlign w:val="bottom"/>
            <w:hideMark/>
          </w:tcPr>
          <w:p w14:paraId="63E64AA7"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219,922</w:t>
            </w:r>
          </w:p>
        </w:tc>
        <w:tc>
          <w:tcPr>
            <w:tcW w:w="2478" w:type="dxa"/>
            <w:tcBorders>
              <w:top w:val="nil"/>
              <w:left w:val="nil"/>
              <w:bottom w:val="single" w:sz="4" w:space="0" w:color="auto"/>
              <w:right w:val="single" w:sz="4" w:space="0" w:color="auto"/>
            </w:tcBorders>
            <w:noWrap/>
            <w:vAlign w:val="bottom"/>
            <w:hideMark/>
          </w:tcPr>
          <w:p w14:paraId="14CAD910"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7,915</w:t>
            </w:r>
          </w:p>
        </w:tc>
        <w:tc>
          <w:tcPr>
            <w:tcW w:w="2607" w:type="dxa"/>
            <w:tcBorders>
              <w:top w:val="nil"/>
              <w:left w:val="nil"/>
              <w:bottom w:val="single" w:sz="4" w:space="0" w:color="auto"/>
              <w:right w:val="single" w:sz="4" w:space="0" w:color="auto"/>
            </w:tcBorders>
            <w:noWrap/>
            <w:vAlign w:val="bottom"/>
            <w:hideMark/>
          </w:tcPr>
          <w:p w14:paraId="44F5FFF9"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127,777</w:t>
            </w:r>
          </w:p>
        </w:tc>
        <w:tc>
          <w:tcPr>
            <w:tcW w:w="1183" w:type="dxa"/>
            <w:tcBorders>
              <w:top w:val="nil"/>
              <w:left w:val="nil"/>
              <w:bottom w:val="single" w:sz="4" w:space="0" w:color="auto"/>
              <w:right w:val="single" w:sz="4" w:space="0" w:color="auto"/>
            </w:tcBorders>
            <w:noWrap/>
            <w:vAlign w:val="bottom"/>
            <w:hideMark/>
          </w:tcPr>
          <w:p w14:paraId="2C69C009"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84,230</w:t>
            </w:r>
          </w:p>
        </w:tc>
      </w:tr>
      <w:tr w:rsidR="00402A9D" w:rsidRPr="008370DE" w14:paraId="1121E941"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3A7CA2E6"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2015</w:t>
            </w:r>
          </w:p>
        </w:tc>
        <w:tc>
          <w:tcPr>
            <w:tcW w:w="1480" w:type="dxa"/>
            <w:tcBorders>
              <w:top w:val="nil"/>
              <w:left w:val="nil"/>
              <w:bottom w:val="single" w:sz="4" w:space="0" w:color="auto"/>
              <w:right w:val="single" w:sz="4" w:space="0" w:color="auto"/>
            </w:tcBorders>
            <w:noWrap/>
            <w:vAlign w:val="bottom"/>
            <w:hideMark/>
          </w:tcPr>
          <w:p w14:paraId="5A822A32"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478" w:type="dxa"/>
            <w:tcBorders>
              <w:top w:val="nil"/>
              <w:left w:val="nil"/>
              <w:bottom w:val="single" w:sz="4" w:space="0" w:color="auto"/>
              <w:right w:val="single" w:sz="4" w:space="0" w:color="auto"/>
            </w:tcBorders>
            <w:noWrap/>
            <w:vAlign w:val="bottom"/>
          </w:tcPr>
          <w:p w14:paraId="4E99956F"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607" w:type="dxa"/>
            <w:tcBorders>
              <w:top w:val="nil"/>
              <w:left w:val="nil"/>
              <w:bottom w:val="single" w:sz="4" w:space="0" w:color="auto"/>
              <w:right w:val="single" w:sz="4" w:space="0" w:color="auto"/>
            </w:tcBorders>
            <w:noWrap/>
            <w:vAlign w:val="bottom"/>
          </w:tcPr>
          <w:p w14:paraId="750691EC"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1183" w:type="dxa"/>
            <w:tcBorders>
              <w:top w:val="nil"/>
              <w:left w:val="nil"/>
              <w:bottom w:val="single" w:sz="4" w:space="0" w:color="auto"/>
              <w:right w:val="single" w:sz="4" w:space="0" w:color="auto"/>
            </w:tcBorders>
            <w:noWrap/>
            <w:vAlign w:val="bottom"/>
          </w:tcPr>
          <w:p w14:paraId="1818F955"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r>
      <w:tr w:rsidR="00402A9D" w:rsidRPr="008370DE" w14:paraId="0EFA6651"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5CFE1F01"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2016</w:t>
            </w:r>
          </w:p>
        </w:tc>
        <w:tc>
          <w:tcPr>
            <w:tcW w:w="1480" w:type="dxa"/>
            <w:tcBorders>
              <w:top w:val="nil"/>
              <w:left w:val="nil"/>
              <w:bottom w:val="single" w:sz="4" w:space="0" w:color="auto"/>
              <w:right w:val="single" w:sz="4" w:space="0" w:color="auto"/>
            </w:tcBorders>
            <w:noWrap/>
            <w:vAlign w:val="bottom"/>
            <w:hideMark/>
          </w:tcPr>
          <w:p w14:paraId="1BF852A4"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478" w:type="dxa"/>
            <w:tcBorders>
              <w:top w:val="nil"/>
              <w:left w:val="nil"/>
              <w:bottom w:val="single" w:sz="4" w:space="0" w:color="auto"/>
              <w:right w:val="single" w:sz="4" w:space="0" w:color="auto"/>
            </w:tcBorders>
            <w:noWrap/>
            <w:vAlign w:val="bottom"/>
          </w:tcPr>
          <w:p w14:paraId="208718EC"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607" w:type="dxa"/>
            <w:tcBorders>
              <w:top w:val="nil"/>
              <w:left w:val="nil"/>
              <w:bottom w:val="single" w:sz="4" w:space="0" w:color="auto"/>
              <w:right w:val="single" w:sz="4" w:space="0" w:color="auto"/>
            </w:tcBorders>
            <w:noWrap/>
            <w:vAlign w:val="bottom"/>
          </w:tcPr>
          <w:p w14:paraId="79D3EA2D"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1183" w:type="dxa"/>
            <w:tcBorders>
              <w:top w:val="nil"/>
              <w:left w:val="nil"/>
              <w:bottom w:val="single" w:sz="4" w:space="0" w:color="auto"/>
              <w:right w:val="single" w:sz="4" w:space="0" w:color="auto"/>
            </w:tcBorders>
            <w:noWrap/>
            <w:vAlign w:val="bottom"/>
          </w:tcPr>
          <w:p w14:paraId="51CBB563"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r>
      <w:tr w:rsidR="00402A9D" w:rsidRPr="008370DE" w14:paraId="119C56BE"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3733F29D"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2017</w:t>
            </w:r>
          </w:p>
        </w:tc>
        <w:tc>
          <w:tcPr>
            <w:tcW w:w="1480" w:type="dxa"/>
            <w:tcBorders>
              <w:top w:val="nil"/>
              <w:left w:val="nil"/>
              <w:bottom w:val="single" w:sz="4" w:space="0" w:color="auto"/>
              <w:right w:val="single" w:sz="4" w:space="0" w:color="auto"/>
            </w:tcBorders>
            <w:noWrap/>
            <w:vAlign w:val="bottom"/>
            <w:hideMark/>
          </w:tcPr>
          <w:p w14:paraId="5EEF4BEC"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478" w:type="dxa"/>
            <w:tcBorders>
              <w:top w:val="nil"/>
              <w:left w:val="nil"/>
              <w:bottom w:val="single" w:sz="4" w:space="0" w:color="auto"/>
              <w:right w:val="single" w:sz="4" w:space="0" w:color="auto"/>
            </w:tcBorders>
            <w:noWrap/>
            <w:vAlign w:val="bottom"/>
          </w:tcPr>
          <w:p w14:paraId="1D40833D"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607" w:type="dxa"/>
            <w:tcBorders>
              <w:top w:val="nil"/>
              <w:left w:val="nil"/>
              <w:bottom w:val="single" w:sz="4" w:space="0" w:color="auto"/>
              <w:right w:val="single" w:sz="4" w:space="0" w:color="auto"/>
            </w:tcBorders>
            <w:noWrap/>
            <w:vAlign w:val="bottom"/>
          </w:tcPr>
          <w:p w14:paraId="4EF78138"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1183" w:type="dxa"/>
            <w:tcBorders>
              <w:top w:val="nil"/>
              <w:left w:val="nil"/>
              <w:bottom w:val="single" w:sz="4" w:space="0" w:color="auto"/>
              <w:right w:val="single" w:sz="4" w:space="0" w:color="auto"/>
            </w:tcBorders>
            <w:noWrap/>
            <w:vAlign w:val="bottom"/>
          </w:tcPr>
          <w:p w14:paraId="082514D1"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r>
      <w:tr w:rsidR="00402A9D" w:rsidRPr="008370DE" w14:paraId="07375295"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35B86F12"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2018</w:t>
            </w:r>
          </w:p>
        </w:tc>
        <w:tc>
          <w:tcPr>
            <w:tcW w:w="1480" w:type="dxa"/>
            <w:tcBorders>
              <w:top w:val="nil"/>
              <w:left w:val="nil"/>
              <w:bottom w:val="single" w:sz="4" w:space="0" w:color="auto"/>
              <w:right w:val="single" w:sz="4" w:space="0" w:color="auto"/>
            </w:tcBorders>
            <w:noWrap/>
            <w:vAlign w:val="bottom"/>
            <w:hideMark/>
          </w:tcPr>
          <w:p w14:paraId="7F89DA48"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478" w:type="dxa"/>
            <w:tcBorders>
              <w:top w:val="nil"/>
              <w:left w:val="nil"/>
              <w:bottom w:val="single" w:sz="4" w:space="0" w:color="auto"/>
              <w:right w:val="single" w:sz="4" w:space="0" w:color="auto"/>
            </w:tcBorders>
            <w:noWrap/>
            <w:vAlign w:val="bottom"/>
          </w:tcPr>
          <w:p w14:paraId="6687E6B4"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607" w:type="dxa"/>
            <w:tcBorders>
              <w:top w:val="nil"/>
              <w:left w:val="nil"/>
              <w:bottom w:val="single" w:sz="4" w:space="0" w:color="auto"/>
              <w:right w:val="single" w:sz="4" w:space="0" w:color="auto"/>
            </w:tcBorders>
            <w:noWrap/>
            <w:vAlign w:val="bottom"/>
          </w:tcPr>
          <w:p w14:paraId="06AA6C9F"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1183" w:type="dxa"/>
            <w:tcBorders>
              <w:top w:val="nil"/>
              <w:left w:val="nil"/>
              <w:bottom w:val="single" w:sz="4" w:space="0" w:color="auto"/>
              <w:right w:val="single" w:sz="4" w:space="0" w:color="auto"/>
            </w:tcBorders>
            <w:noWrap/>
            <w:vAlign w:val="bottom"/>
          </w:tcPr>
          <w:p w14:paraId="5315D272"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r>
      <w:tr w:rsidR="00402A9D" w:rsidRPr="008370DE" w14:paraId="4E337400"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7067D892"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2019</w:t>
            </w:r>
          </w:p>
        </w:tc>
        <w:tc>
          <w:tcPr>
            <w:tcW w:w="1480" w:type="dxa"/>
            <w:tcBorders>
              <w:top w:val="nil"/>
              <w:left w:val="nil"/>
              <w:bottom w:val="single" w:sz="4" w:space="0" w:color="auto"/>
              <w:right w:val="single" w:sz="4" w:space="0" w:color="auto"/>
            </w:tcBorders>
            <w:noWrap/>
            <w:vAlign w:val="bottom"/>
            <w:hideMark/>
          </w:tcPr>
          <w:p w14:paraId="5AEC4CF4"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478" w:type="dxa"/>
            <w:tcBorders>
              <w:top w:val="nil"/>
              <w:left w:val="nil"/>
              <w:bottom w:val="single" w:sz="4" w:space="0" w:color="auto"/>
              <w:right w:val="single" w:sz="4" w:space="0" w:color="auto"/>
            </w:tcBorders>
            <w:noWrap/>
            <w:vAlign w:val="bottom"/>
          </w:tcPr>
          <w:p w14:paraId="3651067B"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607" w:type="dxa"/>
            <w:tcBorders>
              <w:top w:val="nil"/>
              <w:left w:val="nil"/>
              <w:bottom w:val="single" w:sz="4" w:space="0" w:color="auto"/>
              <w:right w:val="single" w:sz="4" w:space="0" w:color="auto"/>
            </w:tcBorders>
            <w:noWrap/>
            <w:vAlign w:val="bottom"/>
          </w:tcPr>
          <w:p w14:paraId="5D726E5B"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1183" w:type="dxa"/>
            <w:tcBorders>
              <w:top w:val="nil"/>
              <w:left w:val="nil"/>
              <w:bottom w:val="single" w:sz="4" w:space="0" w:color="auto"/>
              <w:right w:val="single" w:sz="4" w:space="0" w:color="auto"/>
            </w:tcBorders>
            <w:noWrap/>
            <w:vAlign w:val="bottom"/>
          </w:tcPr>
          <w:p w14:paraId="0A007274"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r>
      <w:tr w:rsidR="00402A9D" w:rsidRPr="008370DE" w14:paraId="561086BC" w14:textId="77777777" w:rsidTr="00636ACB">
        <w:trPr>
          <w:trHeight w:val="240"/>
        </w:trPr>
        <w:tc>
          <w:tcPr>
            <w:tcW w:w="1480" w:type="dxa"/>
            <w:tcBorders>
              <w:top w:val="nil"/>
              <w:left w:val="single" w:sz="4" w:space="0" w:color="auto"/>
              <w:bottom w:val="single" w:sz="4" w:space="0" w:color="auto"/>
              <w:right w:val="single" w:sz="4" w:space="0" w:color="auto"/>
            </w:tcBorders>
            <w:noWrap/>
            <w:vAlign w:val="bottom"/>
            <w:hideMark/>
          </w:tcPr>
          <w:p w14:paraId="26F6161E" w14:textId="77777777" w:rsidR="00402A9D" w:rsidRPr="008370DE" w:rsidRDefault="00402A9D" w:rsidP="00C46799">
            <w:pPr>
              <w:spacing w:after="0" w:line="240" w:lineRule="auto"/>
              <w:rPr>
                <w:rFonts w:eastAsia="Times New Roman" w:cstheme="minorHAnsi"/>
                <w:sz w:val="20"/>
                <w:szCs w:val="20"/>
                <w:lang w:eastAsia="en-CA"/>
              </w:rPr>
            </w:pPr>
            <w:r w:rsidRPr="008370DE">
              <w:rPr>
                <w:rFonts w:eastAsia="Times New Roman" w:cstheme="minorHAnsi"/>
                <w:sz w:val="20"/>
                <w:szCs w:val="20"/>
                <w:lang w:eastAsia="en-CA"/>
              </w:rPr>
              <w:t>2020</w:t>
            </w:r>
          </w:p>
        </w:tc>
        <w:tc>
          <w:tcPr>
            <w:tcW w:w="1480" w:type="dxa"/>
            <w:tcBorders>
              <w:top w:val="nil"/>
              <w:left w:val="nil"/>
              <w:bottom w:val="single" w:sz="4" w:space="0" w:color="auto"/>
              <w:right w:val="single" w:sz="4" w:space="0" w:color="auto"/>
            </w:tcBorders>
            <w:noWrap/>
            <w:vAlign w:val="bottom"/>
            <w:hideMark/>
          </w:tcPr>
          <w:p w14:paraId="49BB48E0"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478" w:type="dxa"/>
            <w:tcBorders>
              <w:top w:val="nil"/>
              <w:left w:val="nil"/>
              <w:bottom w:val="single" w:sz="4" w:space="0" w:color="auto"/>
              <w:right w:val="single" w:sz="4" w:space="0" w:color="auto"/>
            </w:tcBorders>
            <w:noWrap/>
            <w:vAlign w:val="bottom"/>
          </w:tcPr>
          <w:p w14:paraId="30E79A42"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2607" w:type="dxa"/>
            <w:tcBorders>
              <w:top w:val="nil"/>
              <w:left w:val="nil"/>
              <w:bottom w:val="single" w:sz="4" w:space="0" w:color="auto"/>
              <w:right w:val="single" w:sz="4" w:space="0" w:color="auto"/>
            </w:tcBorders>
            <w:noWrap/>
            <w:vAlign w:val="bottom"/>
          </w:tcPr>
          <w:p w14:paraId="4015AA7F"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c>
          <w:tcPr>
            <w:tcW w:w="1183" w:type="dxa"/>
            <w:tcBorders>
              <w:top w:val="nil"/>
              <w:left w:val="nil"/>
              <w:bottom w:val="single" w:sz="4" w:space="0" w:color="auto"/>
              <w:right w:val="single" w:sz="4" w:space="0" w:color="auto"/>
            </w:tcBorders>
            <w:noWrap/>
            <w:vAlign w:val="bottom"/>
          </w:tcPr>
          <w:p w14:paraId="1A3A9FC8" w14:textId="77777777" w:rsidR="00402A9D" w:rsidRPr="008370DE" w:rsidRDefault="00402A9D" w:rsidP="00C46799">
            <w:pPr>
              <w:spacing w:after="0" w:line="240" w:lineRule="auto"/>
              <w:jc w:val="right"/>
              <w:rPr>
                <w:rFonts w:eastAsia="Times New Roman" w:cstheme="minorHAnsi"/>
                <w:sz w:val="20"/>
                <w:szCs w:val="20"/>
                <w:lang w:eastAsia="en-CA"/>
              </w:rPr>
            </w:pPr>
            <w:r w:rsidRPr="008370DE">
              <w:rPr>
                <w:rFonts w:eastAsia="Times New Roman" w:cstheme="minorHAnsi"/>
                <w:sz w:val="20"/>
                <w:szCs w:val="20"/>
                <w:lang w:eastAsia="en-CA"/>
              </w:rPr>
              <w:t>0</w:t>
            </w:r>
          </w:p>
        </w:tc>
      </w:tr>
    </w:tbl>
    <w:p w14:paraId="00A84F46" w14:textId="2D0B9390" w:rsidR="005720D3" w:rsidRPr="008370DE" w:rsidRDefault="00A5336D" w:rsidP="0088074E">
      <w:pPr>
        <w:spacing w:after="0"/>
        <w:rPr>
          <w:b/>
          <w:bCs/>
          <w:sz w:val="20"/>
          <w:szCs w:val="20"/>
        </w:rPr>
      </w:pPr>
      <w:r w:rsidRPr="008370DE">
        <w:rPr>
          <w:b/>
          <w:bCs/>
          <w:sz w:val="20"/>
          <w:szCs w:val="20"/>
        </w:rPr>
        <w:t xml:space="preserve">Note: </w:t>
      </w:r>
      <w:r w:rsidR="002B0919" w:rsidRPr="008370DE">
        <w:rPr>
          <w:sz w:val="20"/>
          <w:szCs w:val="20"/>
        </w:rPr>
        <w:t xml:space="preserve">Split ownership of value is calculated as NPV * (Royalty/Rent). </w:t>
      </w:r>
      <w:r w:rsidRPr="008370DE">
        <w:rPr>
          <w:sz w:val="20"/>
          <w:szCs w:val="20"/>
        </w:rPr>
        <w:t xml:space="preserve">Years with 0 NPV are because the resource rent was negative. </w:t>
      </w:r>
    </w:p>
    <w:p w14:paraId="349F67D7" w14:textId="11EAF664" w:rsidR="0088074E" w:rsidRPr="008370DE" w:rsidRDefault="00402A9D" w:rsidP="0088074E">
      <w:pPr>
        <w:spacing w:after="0"/>
        <w:rPr>
          <w:b/>
          <w:bCs/>
          <w:sz w:val="20"/>
          <w:szCs w:val="20"/>
        </w:rPr>
      </w:pPr>
      <w:r w:rsidRPr="008370DE">
        <w:rPr>
          <w:b/>
          <w:bCs/>
          <w:sz w:val="20"/>
          <w:szCs w:val="20"/>
        </w:rPr>
        <w:t>Source:</w:t>
      </w:r>
      <w:r w:rsidR="00487941" w:rsidRPr="008370DE">
        <w:rPr>
          <w:b/>
          <w:bCs/>
          <w:sz w:val="20"/>
          <w:szCs w:val="20"/>
        </w:rPr>
        <w:t xml:space="preserve"> </w:t>
      </w:r>
      <w:r w:rsidR="00015220" w:rsidRPr="008370DE">
        <w:rPr>
          <w:sz w:val="20"/>
          <w:szCs w:val="20"/>
        </w:rPr>
        <w:t>Statistics Canada. </w:t>
      </w:r>
      <w:hyperlink r:id="rId10" w:history="1">
        <w:r w:rsidR="00015220" w:rsidRPr="008370DE">
          <w:rPr>
            <w:rStyle w:val="Hyperlink"/>
            <w:sz w:val="20"/>
            <w:szCs w:val="20"/>
          </w:rPr>
          <w:t>Table 38-10-0006-</w:t>
        </w:r>
        <w:r w:rsidR="008D2263" w:rsidRPr="008370DE">
          <w:rPr>
            <w:rStyle w:val="Hyperlink"/>
            <w:sz w:val="20"/>
            <w:szCs w:val="20"/>
          </w:rPr>
          <w:t>01 Value</w:t>
        </w:r>
        <w:r w:rsidR="00015220" w:rsidRPr="008370DE">
          <w:rPr>
            <w:rStyle w:val="Hyperlink"/>
            <w:sz w:val="20"/>
            <w:szCs w:val="20"/>
          </w:rPr>
          <w:t xml:space="preserve"> of selected natural resource reserves (x 1,000,000)</w:t>
        </w:r>
      </w:hyperlink>
      <w:r w:rsidR="00015220" w:rsidRPr="008370DE">
        <w:rPr>
          <w:sz w:val="20"/>
          <w:szCs w:val="20"/>
        </w:rPr>
        <w:t>;  </w:t>
      </w:r>
      <w:hyperlink r:id="rId11" w:history="1">
        <w:r w:rsidR="0088074E" w:rsidRPr="008370DE">
          <w:rPr>
            <w:rStyle w:val="Hyperlink"/>
            <w:sz w:val="20"/>
            <w:szCs w:val="20"/>
          </w:rPr>
          <w:t>Table 10-10-0017-01 Canadian government finance statistics for the provincial and territorial governments</w:t>
        </w:r>
      </w:hyperlink>
      <w:r w:rsidR="00015220" w:rsidRPr="008370DE">
        <w:rPr>
          <w:sz w:val="20"/>
          <w:szCs w:val="20"/>
        </w:rPr>
        <w:t xml:space="preserve">; </w:t>
      </w:r>
      <w:r w:rsidR="0088074E" w:rsidRPr="008370DE">
        <w:rPr>
          <w:sz w:val="20"/>
          <w:szCs w:val="20"/>
        </w:rPr>
        <w:t xml:space="preserve"> </w:t>
      </w:r>
      <w:hyperlink r:id="rId12" w:history="1">
        <w:r w:rsidR="0088074E" w:rsidRPr="008370DE">
          <w:rPr>
            <w:rStyle w:val="Hyperlink"/>
            <w:sz w:val="20"/>
            <w:szCs w:val="20"/>
          </w:rPr>
          <w:t>Table 10-10-0016-01 Canadian government finance statistics for the federal government</w:t>
        </w:r>
      </w:hyperlink>
      <w:r w:rsidR="0088074E" w:rsidRPr="008370DE">
        <w:rPr>
          <w:sz w:val="20"/>
          <w:szCs w:val="20"/>
        </w:rPr>
        <w:t>.</w:t>
      </w:r>
    </w:p>
    <w:p w14:paraId="4FCA3421" w14:textId="77777777" w:rsidR="00402A9D" w:rsidRDefault="00402A9D" w:rsidP="00402A9D">
      <w:pPr>
        <w:spacing w:after="0" w:line="240" w:lineRule="auto"/>
        <w:rPr>
          <w:b/>
          <w:bCs/>
          <w:sz w:val="20"/>
          <w:szCs w:val="20"/>
        </w:rPr>
      </w:pPr>
    </w:p>
    <w:p w14:paraId="72A6C8D2" w14:textId="77777777" w:rsidR="00AD749B" w:rsidRDefault="00402A9D" w:rsidP="00402A9D">
      <w:pPr>
        <w:spacing w:after="0" w:line="240" w:lineRule="auto"/>
        <w:rPr>
          <w:b/>
          <w:bCs/>
          <w:sz w:val="20"/>
          <w:szCs w:val="20"/>
        </w:rPr>
      </w:pPr>
      <w:r w:rsidRPr="00903F29">
        <w:rPr>
          <w:b/>
          <w:bCs/>
          <w:sz w:val="20"/>
          <w:szCs w:val="20"/>
        </w:rPr>
        <w:t xml:space="preserve">Table </w:t>
      </w:r>
      <w:r>
        <w:rPr>
          <w:b/>
          <w:bCs/>
          <w:sz w:val="20"/>
          <w:szCs w:val="20"/>
        </w:rPr>
        <w:t>2</w:t>
      </w:r>
    </w:p>
    <w:p w14:paraId="1B3EA723" w14:textId="0C75C190" w:rsidR="00402A9D" w:rsidRPr="00903F29" w:rsidRDefault="00E754ED" w:rsidP="00402A9D">
      <w:pPr>
        <w:spacing w:after="0" w:line="240" w:lineRule="auto"/>
        <w:rPr>
          <w:b/>
          <w:bCs/>
          <w:sz w:val="20"/>
          <w:szCs w:val="20"/>
        </w:rPr>
      </w:pPr>
      <w:r>
        <w:rPr>
          <w:b/>
          <w:bCs/>
          <w:sz w:val="20"/>
          <w:szCs w:val="20"/>
        </w:rPr>
        <w:t xml:space="preserve">Allocation of </w:t>
      </w:r>
      <w:r w:rsidR="00DF309A">
        <w:rPr>
          <w:b/>
          <w:bCs/>
          <w:sz w:val="20"/>
          <w:szCs w:val="20"/>
        </w:rPr>
        <w:t xml:space="preserve">crude oil and natural gas </w:t>
      </w:r>
      <w:r w:rsidR="00C35457">
        <w:rPr>
          <w:b/>
          <w:bCs/>
          <w:sz w:val="20"/>
          <w:szCs w:val="20"/>
        </w:rPr>
        <w:t>present value on net price</w:t>
      </w:r>
      <w:r w:rsidR="00AD749B">
        <w:rPr>
          <w:b/>
          <w:bCs/>
          <w:sz w:val="20"/>
          <w:szCs w:val="20"/>
        </w:rPr>
        <w:t xml:space="preserve"> I</w:t>
      </w:r>
      <w:r w:rsidR="00C35457">
        <w:rPr>
          <w:b/>
          <w:bCs/>
          <w:sz w:val="20"/>
          <w:szCs w:val="20"/>
        </w:rPr>
        <w:t xml:space="preserve">, </w:t>
      </w:r>
      <w:r>
        <w:rPr>
          <w:b/>
          <w:bCs/>
          <w:sz w:val="20"/>
          <w:szCs w:val="20"/>
        </w:rPr>
        <w:t>by economic owners</w:t>
      </w:r>
      <w:r w:rsidR="00C35457">
        <w:rPr>
          <w:b/>
          <w:bCs/>
          <w:sz w:val="20"/>
          <w:szCs w:val="20"/>
        </w:rPr>
        <w:t>,</w:t>
      </w:r>
      <w:r>
        <w:rPr>
          <w:b/>
          <w:bCs/>
          <w:sz w:val="20"/>
          <w:szCs w:val="20"/>
        </w:rPr>
        <w:t xml:space="preserve"> using </w:t>
      </w:r>
      <w:r w:rsidR="00402A9D" w:rsidRPr="00903F29">
        <w:rPr>
          <w:b/>
          <w:bCs/>
          <w:sz w:val="20"/>
          <w:szCs w:val="20"/>
        </w:rPr>
        <w:t>CAPP</w:t>
      </w:r>
      <w:r>
        <w:rPr>
          <w:b/>
          <w:bCs/>
          <w:sz w:val="20"/>
          <w:szCs w:val="20"/>
        </w:rPr>
        <w:t xml:space="preserve"> royalty data</w:t>
      </w:r>
      <w:r w:rsidR="00C35457">
        <w:rPr>
          <w:b/>
          <w:bCs/>
          <w:sz w:val="20"/>
          <w:szCs w:val="20"/>
        </w:rPr>
        <w:t>, 2010 to 2020</w:t>
      </w:r>
      <w:r w:rsidR="00402A9D" w:rsidRPr="00903F29">
        <w:rPr>
          <w:b/>
          <w:bCs/>
          <w:sz w:val="20"/>
          <w:szCs w:val="20"/>
        </w:rPr>
        <w:t xml:space="preserve"> </w:t>
      </w:r>
    </w:p>
    <w:tbl>
      <w:tblPr>
        <w:tblW w:w="9280" w:type="dxa"/>
        <w:tblLook w:val="04A0" w:firstRow="1" w:lastRow="0" w:firstColumn="1" w:lastColumn="0" w:noHBand="0" w:noVBand="1"/>
      </w:tblPr>
      <w:tblGrid>
        <w:gridCol w:w="1640"/>
        <w:gridCol w:w="2000"/>
        <w:gridCol w:w="1175"/>
        <w:gridCol w:w="2131"/>
        <w:gridCol w:w="2334"/>
      </w:tblGrid>
      <w:tr w:rsidR="00402A9D" w:rsidRPr="00B8456B" w14:paraId="5ADE8FF9" w14:textId="77777777" w:rsidTr="00FE04FC">
        <w:trPr>
          <w:trHeight w:val="78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D9EB8B0" w14:textId="77777777" w:rsidR="00402A9D" w:rsidRPr="00B8456B" w:rsidRDefault="00402A9D" w:rsidP="00FE04FC">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 </w:t>
            </w:r>
          </w:p>
        </w:tc>
        <w:tc>
          <w:tcPr>
            <w:tcW w:w="2000" w:type="dxa"/>
            <w:tcBorders>
              <w:top w:val="single" w:sz="4" w:space="0" w:color="auto"/>
              <w:left w:val="nil"/>
              <w:bottom w:val="single" w:sz="4" w:space="0" w:color="auto"/>
              <w:right w:val="single" w:sz="4" w:space="0" w:color="auto"/>
            </w:tcBorders>
            <w:vAlign w:val="center"/>
            <w:hideMark/>
          </w:tcPr>
          <w:p w14:paraId="5D202302" w14:textId="246C91F3" w:rsidR="00402A9D" w:rsidRPr="00B8456B" w:rsidRDefault="00402A9D" w:rsidP="00FE04FC">
            <w:pPr>
              <w:spacing w:after="0" w:line="240" w:lineRule="auto"/>
              <w:jc w:val="center"/>
              <w:rPr>
                <w:rFonts w:eastAsia="Times New Roman" w:cstheme="minorHAnsi"/>
                <w:b/>
                <w:bCs/>
                <w:sz w:val="20"/>
                <w:szCs w:val="20"/>
                <w:lang w:eastAsia="en-CA"/>
              </w:rPr>
            </w:pPr>
            <w:r w:rsidRPr="00B8456B">
              <w:rPr>
                <w:rFonts w:eastAsia="Times New Roman" w:cstheme="minorHAnsi"/>
                <w:b/>
                <w:bCs/>
                <w:sz w:val="20"/>
                <w:szCs w:val="20"/>
                <w:lang w:eastAsia="en-CA"/>
              </w:rPr>
              <w:t xml:space="preserve">Present </w:t>
            </w:r>
            <w:r w:rsidR="00176FC5">
              <w:rPr>
                <w:rFonts w:eastAsia="Times New Roman" w:cstheme="minorHAnsi"/>
                <w:b/>
                <w:bCs/>
                <w:sz w:val="20"/>
                <w:szCs w:val="20"/>
                <w:lang w:eastAsia="en-CA"/>
              </w:rPr>
              <w:t>v</w:t>
            </w:r>
            <w:r w:rsidRPr="00B8456B">
              <w:rPr>
                <w:rFonts w:eastAsia="Times New Roman" w:cstheme="minorHAnsi"/>
                <w:b/>
                <w:bCs/>
                <w:sz w:val="20"/>
                <w:szCs w:val="20"/>
                <w:lang w:eastAsia="en-CA"/>
              </w:rPr>
              <w:t xml:space="preserve">alue (on </w:t>
            </w:r>
            <w:r w:rsidR="00176FC5">
              <w:rPr>
                <w:rFonts w:eastAsia="Times New Roman" w:cstheme="minorHAnsi"/>
                <w:b/>
                <w:bCs/>
                <w:sz w:val="20"/>
                <w:szCs w:val="20"/>
                <w:lang w:eastAsia="en-CA"/>
              </w:rPr>
              <w:t>n</w:t>
            </w:r>
            <w:r w:rsidRPr="00B8456B">
              <w:rPr>
                <w:rFonts w:eastAsia="Times New Roman" w:cstheme="minorHAnsi"/>
                <w:b/>
                <w:bCs/>
                <w:sz w:val="20"/>
                <w:szCs w:val="20"/>
                <w:lang w:eastAsia="en-CA"/>
              </w:rPr>
              <w:t xml:space="preserve">et </w:t>
            </w:r>
            <w:r w:rsidR="00176FC5">
              <w:rPr>
                <w:rFonts w:eastAsia="Times New Roman" w:cstheme="minorHAnsi"/>
                <w:b/>
                <w:bCs/>
                <w:sz w:val="20"/>
                <w:szCs w:val="20"/>
                <w:lang w:eastAsia="en-CA"/>
              </w:rPr>
              <w:t>p</w:t>
            </w:r>
            <w:r w:rsidRPr="00B8456B">
              <w:rPr>
                <w:rFonts w:eastAsia="Times New Roman" w:cstheme="minorHAnsi"/>
                <w:b/>
                <w:bCs/>
                <w:sz w:val="20"/>
                <w:szCs w:val="20"/>
                <w:lang w:eastAsia="en-CA"/>
              </w:rPr>
              <w:t>rice I</w:t>
            </w:r>
            <w:r w:rsidR="00D62A68" w:rsidRPr="00B8456B">
              <w:rPr>
                <w:rFonts w:eastAsia="Times New Roman" w:cstheme="minorHAnsi"/>
                <w:b/>
                <w:bCs/>
                <w:sz w:val="20"/>
                <w:szCs w:val="20"/>
                <w:lang w:eastAsia="en-CA"/>
              </w:rPr>
              <w:fldChar w:fldCharType="begin"/>
            </w:r>
            <w:r w:rsidR="00D62A68" w:rsidRPr="00B8456B">
              <w:rPr>
                <w:rFonts w:eastAsia="Times New Roman" w:cstheme="minorHAnsi"/>
                <w:b/>
                <w:bCs/>
                <w:sz w:val="20"/>
                <w:szCs w:val="20"/>
                <w:lang w:eastAsia="en-CA"/>
              </w:rPr>
              <w:instrText xml:space="preserve"> NOTEREF _Ref234931629 \f \h </w:instrText>
            </w:r>
            <w:r w:rsidR="00B8456B">
              <w:rPr>
                <w:rFonts w:eastAsia="Times New Roman" w:cstheme="minorHAnsi"/>
                <w:b/>
                <w:bCs/>
                <w:sz w:val="20"/>
                <w:szCs w:val="20"/>
                <w:lang w:eastAsia="en-CA"/>
              </w:rPr>
              <w:instrText xml:space="preserve"> \* MERGEFORMAT </w:instrText>
            </w:r>
            <w:r w:rsidR="00D62A68" w:rsidRPr="00B8456B">
              <w:rPr>
                <w:rFonts w:eastAsia="Times New Roman" w:cstheme="minorHAnsi"/>
                <w:b/>
                <w:bCs/>
                <w:sz w:val="20"/>
                <w:szCs w:val="20"/>
                <w:lang w:eastAsia="en-CA"/>
              </w:rPr>
            </w:r>
            <w:r w:rsidR="00D62A68" w:rsidRPr="00B8456B">
              <w:rPr>
                <w:rFonts w:eastAsia="Times New Roman" w:cstheme="minorHAnsi"/>
                <w:b/>
                <w:bCs/>
                <w:sz w:val="20"/>
                <w:szCs w:val="20"/>
                <w:lang w:eastAsia="en-CA"/>
              </w:rPr>
              <w:fldChar w:fldCharType="separate"/>
            </w:r>
            <w:r w:rsidR="00D62A68" w:rsidRPr="00B8456B">
              <w:rPr>
                <w:rStyle w:val="FootnoteReference"/>
                <w:rFonts w:cstheme="minorHAnsi"/>
                <w:lang w:eastAsia="en-CA"/>
              </w:rPr>
              <w:t>9</w:t>
            </w:r>
            <w:r w:rsidR="00D62A68" w:rsidRPr="00B8456B">
              <w:rPr>
                <w:rFonts w:eastAsia="Times New Roman" w:cstheme="minorHAnsi"/>
                <w:b/>
                <w:bCs/>
                <w:sz w:val="20"/>
                <w:szCs w:val="20"/>
                <w:lang w:eastAsia="en-CA"/>
              </w:rPr>
              <w:fldChar w:fldCharType="end"/>
            </w:r>
            <w:r w:rsidRPr="00B8456B">
              <w:rPr>
                <w:rFonts w:eastAsia="Times New Roman" w:cstheme="minorHAnsi"/>
                <w:b/>
                <w:bCs/>
                <w:sz w:val="20"/>
                <w:szCs w:val="20"/>
                <w:lang w:eastAsia="en-CA"/>
              </w:rPr>
              <w:t>)</w:t>
            </w:r>
          </w:p>
        </w:tc>
        <w:tc>
          <w:tcPr>
            <w:tcW w:w="5640" w:type="dxa"/>
            <w:gridSpan w:val="3"/>
            <w:tcBorders>
              <w:top w:val="single" w:sz="4" w:space="0" w:color="auto"/>
              <w:left w:val="nil"/>
              <w:bottom w:val="single" w:sz="4" w:space="0" w:color="auto"/>
              <w:right w:val="single" w:sz="4" w:space="0" w:color="auto"/>
            </w:tcBorders>
            <w:vAlign w:val="center"/>
            <w:hideMark/>
          </w:tcPr>
          <w:p w14:paraId="34EBF339" w14:textId="02BA0B4D" w:rsidR="00402A9D" w:rsidRPr="00B8456B" w:rsidRDefault="00AD749B" w:rsidP="00FE04FC">
            <w:pPr>
              <w:spacing w:after="0" w:line="240" w:lineRule="auto"/>
              <w:jc w:val="center"/>
              <w:rPr>
                <w:rFonts w:eastAsia="Times New Roman" w:cstheme="minorHAnsi"/>
                <w:b/>
                <w:bCs/>
                <w:sz w:val="20"/>
                <w:szCs w:val="20"/>
                <w:lang w:eastAsia="en-CA"/>
              </w:rPr>
            </w:pPr>
            <w:r w:rsidRPr="00B8456B">
              <w:rPr>
                <w:rFonts w:eastAsia="Times New Roman" w:cstheme="minorHAnsi"/>
                <w:b/>
                <w:bCs/>
                <w:sz w:val="20"/>
                <w:szCs w:val="20"/>
                <w:lang w:eastAsia="en-CA"/>
              </w:rPr>
              <w:t>S</w:t>
            </w:r>
            <w:r w:rsidR="00E754ED" w:rsidRPr="00B8456B">
              <w:rPr>
                <w:rFonts w:eastAsia="Times New Roman" w:cstheme="minorHAnsi"/>
                <w:b/>
                <w:bCs/>
                <w:sz w:val="20"/>
                <w:szCs w:val="20"/>
                <w:lang w:eastAsia="en-CA"/>
              </w:rPr>
              <w:t>plit ownership</w:t>
            </w:r>
            <w:r w:rsidR="00402A9D" w:rsidRPr="00B8456B">
              <w:rPr>
                <w:rFonts w:eastAsia="Times New Roman" w:cstheme="minorHAnsi"/>
                <w:b/>
                <w:bCs/>
                <w:sz w:val="20"/>
                <w:szCs w:val="20"/>
                <w:lang w:eastAsia="en-CA"/>
              </w:rPr>
              <w:t xml:space="preserve"> of </w:t>
            </w:r>
            <w:r w:rsidRPr="00B8456B">
              <w:rPr>
                <w:rFonts w:eastAsia="Times New Roman" w:cstheme="minorHAnsi"/>
                <w:b/>
                <w:bCs/>
                <w:sz w:val="20"/>
                <w:szCs w:val="20"/>
                <w:lang w:eastAsia="en-CA"/>
              </w:rPr>
              <w:t>value</w:t>
            </w:r>
          </w:p>
        </w:tc>
      </w:tr>
      <w:tr w:rsidR="00402A9D" w:rsidRPr="00B8456B" w14:paraId="38DB5014"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27461B20" w14:textId="4275400B" w:rsidR="00402A9D" w:rsidRPr="00B8456B" w:rsidRDefault="00402A9D" w:rsidP="00FE04FC">
            <w:pPr>
              <w:spacing w:after="0" w:line="240" w:lineRule="auto"/>
              <w:rPr>
                <w:rFonts w:eastAsia="Times New Roman" w:cstheme="minorHAnsi"/>
                <w:b/>
                <w:bCs/>
                <w:sz w:val="20"/>
                <w:szCs w:val="20"/>
                <w:lang w:eastAsia="en-CA"/>
              </w:rPr>
            </w:pPr>
            <w:r w:rsidRPr="00B8456B">
              <w:rPr>
                <w:rFonts w:eastAsia="Times New Roman" w:cstheme="minorHAnsi"/>
                <w:b/>
                <w:bCs/>
                <w:sz w:val="20"/>
                <w:szCs w:val="20"/>
                <w:lang w:eastAsia="en-CA"/>
              </w:rPr>
              <w:t> </w:t>
            </w:r>
            <w:r w:rsidR="00AD749B" w:rsidRPr="00B8456B">
              <w:rPr>
                <w:rFonts w:eastAsia="Times New Roman" w:cstheme="minorHAnsi"/>
                <w:b/>
                <w:bCs/>
                <w:sz w:val="20"/>
                <w:szCs w:val="20"/>
                <w:lang w:eastAsia="en-CA"/>
              </w:rPr>
              <w:t>Year</w:t>
            </w:r>
          </w:p>
        </w:tc>
        <w:tc>
          <w:tcPr>
            <w:tcW w:w="2000" w:type="dxa"/>
            <w:tcBorders>
              <w:top w:val="nil"/>
              <w:left w:val="nil"/>
              <w:bottom w:val="single" w:sz="4" w:space="0" w:color="auto"/>
              <w:right w:val="single" w:sz="4" w:space="0" w:color="auto"/>
            </w:tcBorders>
            <w:noWrap/>
            <w:vAlign w:val="bottom"/>
            <w:hideMark/>
          </w:tcPr>
          <w:p w14:paraId="478B6208" w14:textId="6636F8B4" w:rsidR="00402A9D" w:rsidRPr="00B8456B" w:rsidRDefault="00AD749B" w:rsidP="00AD749B">
            <w:pPr>
              <w:spacing w:after="0" w:line="240" w:lineRule="auto"/>
              <w:jc w:val="right"/>
              <w:rPr>
                <w:rFonts w:eastAsia="Times New Roman" w:cstheme="minorHAnsi"/>
                <w:b/>
                <w:bCs/>
                <w:sz w:val="20"/>
                <w:szCs w:val="20"/>
                <w:lang w:eastAsia="en-CA"/>
              </w:rPr>
            </w:pPr>
            <w:r w:rsidRPr="00B8456B">
              <w:rPr>
                <w:rFonts w:eastAsia="Times New Roman" w:cstheme="minorHAnsi"/>
                <w:b/>
                <w:bCs/>
                <w:sz w:val="20"/>
                <w:szCs w:val="20"/>
                <w:lang w:eastAsia="en-CA"/>
              </w:rPr>
              <w:t>Total</w:t>
            </w:r>
            <w:r w:rsidR="00402A9D" w:rsidRPr="00B8456B">
              <w:rPr>
                <w:rFonts w:eastAsia="Times New Roman" w:cstheme="minorHAnsi"/>
                <w:b/>
                <w:bCs/>
                <w:sz w:val="20"/>
                <w:szCs w:val="20"/>
                <w:lang w:eastAsia="en-CA"/>
              </w:rPr>
              <w:t> </w:t>
            </w:r>
          </w:p>
        </w:tc>
        <w:tc>
          <w:tcPr>
            <w:tcW w:w="1175" w:type="dxa"/>
            <w:tcBorders>
              <w:top w:val="nil"/>
              <w:left w:val="nil"/>
              <w:bottom w:val="single" w:sz="4" w:space="0" w:color="auto"/>
              <w:right w:val="single" w:sz="4" w:space="0" w:color="auto"/>
            </w:tcBorders>
            <w:noWrap/>
            <w:vAlign w:val="bottom"/>
            <w:hideMark/>
          </w:tcPr>
          <w:p w14:paraId="493CAAB7" w14:textId="77777777" w:rsidR="00402A9D" w:rsidRPr="00B8456B" w:rsidRDefault="00402A9D" w:rsidP="00AD749B">
            <w:pPr>
              <w:spacing w:after="0" w:line="240" w:lineRule="auto"/>
              <w:jc w:val="right"/>
              <w:rPr>
                <w:rFonts w:eastAsia="Times New Roman" w:cstheme="minorHAnsi"/>
                <w:b/>
                <w:bCs/>
                <w:sz w:val="20"/>
                <w:szCs w:val="20"/>
                <w:lang w:eastAsia="en-CA"/>
              </w:rPr>
            </w:pPr>
            <w:r w:rsidRPr="00B8456B">
              <w:rPr>
                <w:rFonts w:eastAsia="Times New Roman" w:cstheme="minorHAnsi"/>
                <w:b/>
                <w:bCs/>
                <w:sz w:val="20"/>
                <w:szCs w:val="20"/>
                <w:lang w:eastAsia="en-CA"/>
              </w:rPr>
              <w:t>Federal</w:t>
            </w:r>
          </w:p>
        </w:tc>
        <w:tc>
          <w:tcPr>
            <w:tcW w:w="2131" w:type="dxa"/>
            <w:tcBorders>
              <w:top w:val="nil"/>
              <w:left w:val="nil"/>
              <w:bottom w:val="single" w:sz="4" w:space="0" w:color="auto"/>
              <w:right w:val="single" w:sz="4" w:space="0" w:color="auto"/>
            </w:tcBorders>
            <w:noWrap/>
            <w:vAlign w:val="bottom"/>
            <w:hideMark/>
          </w:tcPr>
          <w:p w14:paraId="376E1835" w14:textId="73BD7144" w:rsidR="00402A9D" w:rsidRPr="00B8456B" w:rsidRDefault="001A13B9" w:rsidP="00AD749B">
            <w:pPr>
              <w:spacing w:after="0" w:line="240" w:lineRule="auto"/>
              <w:jc w:val="right"/>
              <w:rPr>
                <w:rFonts w:eastAsia="Times New Roman" w:cstheme="minorHAnsi"/>
                <w:b/>
                <w:bCs/>
                <w:sz w:val="20"/>
                <w:szCs w:val="20"/>
                <w:lang w:eastAsia="en-CA"/>
              </w:rPr>
            </w:pPr>
            <w:r w:rsidRPr="006357BC">
              <w:rPr>
                <w:rFonts w:eastAsia="Times New Roman" w:cstheme="minorHAnsi"/>
                <w:b/>
                <w:bCs/>
                <w:color w:val="000000"/>
                <w:sz w:val="20"/>
                <w:szCs w:val="20"/>
                <w:lang w:eastAsia="en-CA"/>
              </w:rPr>
              <w:t>Provincial/Territorial</w:t>
            </w:r>
          </w:p>
        </w:tc>
        <w:tc>
          <w:tcPr>
            <w:tcW w:w="2334" w:type="dxa"/>
            <w:tcBorders>
              <w:top w:val="nil"/>
              <w:left w:val="nil"/>
              <w:bottom w:val="single" w:sz="4" w:space="0" w:color="auto"/>
              <w:right w:val="single" w:sz="4" w:space="0" w:color="auto"/>
            </w:tcBorders>
            <w:noWrap/>
            <w:vAlign w:val="bottom"/>
            <w:hideMark/>
          </w:tcPr>
          <w:p w14:paraId="15A3680C" w14:textId="77777777" w:rsidR="00402A9D" w:rsidRPr="00B8456B" w:rsidRDefault="00402A9D" w:rsidP="00AD749B">
            <w:pPr>
              <w:spacing w:after="0" w:line="240" w:lineRule="auto"/>
              <w:jc w:val="right"/>
              <w:rPr>
                <w:rFonts w:eastAsia="Times New Roman" w:cstheme="minorHAnsi"/>
                <w:b/>
                <w:bCs/>
                <w:sz w:val="20"/>
                <w:szCs w:val="20"/>
                <w:lang w:eastAsia="en-CA"/>
              </w:rPr>
            </w:pPr>
            <w:r w:rsidRPr="00B8456B">
              <w:rPr>
                <w:rFonts w:eastAsia="Times New Roman" w:cstheme="minorHAnsi"/>
                <w:b/>
                <w:bCs/>
                <w:sz w:val="20"/>
                <w:szCs w:val="20"/>
                <w:lang w:eastAsia="en-CA"/>
              </w:rPr>
              <w:t>Corporation</w:t>
            </w:r>
          </w:p>
        </w:tc>
      </w:tr>
      <w:tr w:rsidR="00AD749B" w:rsidRPr="00B8456B" w14:paraId="20B37D23" w14:textId="77777777" w:rsidTr="00AD749B">
        <w:trPr>
          <w:trHeight w:val="260"/>
        </w:trPr>
        <w:tc>
          <w:tcPr>
            <w:tcW w:w="1640" w:type="dxa"/>
            <w:tcBorders>
              <w:top w:val="nil"/>
              <w:left w:val="single" w:sz="4" w:space="0" w:color="auto"/>
              <w:bottom w:val="single" w:sz="4" w:space="0" w:color="auto"/>
              <w:right w:val="single" w:sz="4" w:space="0" w:color="auto"/>
            </w:tcBorders>
            <w:noWrap/>
            <w:vAlign w:val="bottom"/>
            <w:hideMark/>
          </w:tcPr>
          <w:p w14:paraId="509BE030" w14:textId="77777777" w:rsidR="00AD749B" w:rsidRPr="00B8456B" w:rsidRDefault="00AD749B" w:rsidP="00FE04FC">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 </w:t>
            </w:r>
          </w:p>
        </w:tc>
        <w:tc>
          <w:tcPr>
            <w:tcW w:w="7640" w:type="dxa"/>
            <w:gridSpan w:val="4"/>
            <w:tcBorders>
              <w:top w:val="nil"/>
              <w:left w:val="nil"/>
              <w:bottom w:val="single" w:sz="4" w:space="0" w:color="auto"/>
              <w:right w:val="single" w:sz="4" w:space="0" w:color="auto"/>
            </w:tcBorders>
            <w:noWrap/>
            <w:vAlign w:val="bottom"/>
            <w:hideMark/>
          </w:tcPr>
          <w:p w14:paraId="4E835DD4" w14:textId="3007643A" w:rsidR="00AD749B" w:rsidRPr="00B8456B" w:rsidRDefault="00AD749B" w:rsidP="00FE04FC">
            <w:pPr>
              <w:spacing w:after="0" w:line="240" w:lineRule="auto"/>
              <w:jc w:val="center"/>
              <w:rPr>
                <w:rFonts w:eastAsia="Times New Roman" w:cstheme="minorHAnsi"/>
                <w:sz w:val="20"/>
                <w:szCs w:val="20"/>
                <w:lang w:eastAsia="en-CA"/>
              </w:rPr>
            </w:pPr>
            <w:r w:rsidRPr="00B8456B">
              <w:rPr>
                <w:rFonts w:eastAsia="Times New Roman" w:cstheme="minorHAnsi"/>
                <w:sz w:val="20"/>
                <w:szCs w:val="20"/>
                <w:lang w:eastAsia="en-CA"/>
              </w:rPr>
              <w:t>millions of Canadian dollars</w:t>
            </w:r>
          </w:p>
        </w:tc>
      </w:tr>
      <w:tr w:rsidR="00402A9D" w:rsidRPr="00B8456B" w14:paraId="25864880"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20D46981"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2010</w:t>
            </w:r>
          </w:p>
        </w:tc>
        <w:tc>
          <w:tcPr>
            <w:tcW w:w="2000" w:type="dxa"/>
            <w:tcBorders>
              <w:top w:val="nil"/>
              <w:left w:val="nil"/>
              <w:bottom w:val="single" w:sz="4" w:space="0" w:color="auto"/>
              <w:right w:val="single" w:sz="4" w:space="0" w:color="auto"/>
            </w:tcBorders>
            <w:noWrap/>
            <w:vAlign w:val="bottom"/>
            <w:hideMark/>
          </w:tcPr>
          <w:p w14:paraId="0FE03FC6"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169,004</w:t>
            </w:r>
          </w:p>
        </w:tc>
        <w:tc>
          <w:tcPr>
            <w:tcW w:w="1175" w:type="dxa"/>
            <w:tcBorders>
              <w:top w:val="nil"/>
              <w:left w:val="nil"/>
              <w:bottom w:val="single" w:sz="4" w:space="0" w:color="auto"/>
              <w:right w:val="single" w:sz="4" w:space="0" w:color="auto"/>
            </w:tcBorders>
            <w:noWrap/>
            <w:vAlign w:val="bottom"/>
            <w:hideMark/>
          </w:tcPr>
          <w:p w14:paraId="28FB5477"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4CE42249"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86,406</w:t>
            </w:r>
          </w:p>
        </w:tc>
        <w:tc>
          <w:tcPr>
            <w:tcW w:w="2334" w:type="dxa"/>
            <w:tcBorders>
              <w:top w:val="nil"/>
              <w:left w:val="nil"/>
              <w:bottom w:val="single" w:sz="4" w:space="0" w:color="auto"/>
              <w:right w:val="single" w:sz="4" w:space="0" w:color="auto"/>
            </w:tcBorders>
            <w:noWrap/>
            <w:vAlign w:val="bottom"/>
            <w:hideMark/>
          </w:tcPr>
          <w:p w14:paraId="6704282E" w14:textId="0E3F2999"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82,597</w:t>
            </w:r>
          </w:p>
        </w:tc>
      </w:tr>
      <w:tr w:rsidR="00402A9D" w:rsidRPr="00B8456B" w14:paraId="729F0007"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2B981D89"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2011</w:t>
            </w:r>
          </w:p>
        </w:tc>
        <w:tc>
          <w:tcPr>
            <w:tcW w:w="2000" w:type="dxa"/>
            <w:tcBorders>
              <w:top w:val="nil"/>
              <w:left w:val="nil"/>
              <w:bottom w:val="single" w:sz="4" w:space="0" w:color="auto"/>
              <w:right w:val="single" w:sz="4" w:space="0" w:color="auto"/>
            </w:tcBorders>
            <w:noWrap/>
            <w:vAlign w:val="bottom"/>
            <w:hideMark/>
          </w:tcPr>
          <w:p w14:paraId="05B1CBBE"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258,007</w:t>
            </w:r>
          </w:p>
        </w:tc>
        <w:tc>
          <w:tcPr>
            <w:tcW w:w="1175" w:type="dxa"/>
            <w:tcBorders>
              <w:top w:val="nil"/>
              <w:left w:val="nil"/>
              <w:bottom w:val="single" w:sz="4" w:space="0" w:color="auto"/>
              <w:right w:val="single" w:sz="4" w:space="0" w:color="auto"/>
            </w:tcBorders>
            <w:noWrap/>
            <w:vAlign w:val="bottom"/>
            <w:hideMark/>
          </w:tcPr>
          <w:p w14:paraId="10E1E9A1"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45CC8268"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107,037</w:t>
            </w:r>
          </w:p>
        </w:tc>
        <w:tc>
          <w:tcPr>
            <w:tcW w:w="2334" w:type="dxa"/>
            <w:tcBorders>
              <w:top w:val="nil"/>
              <w:left w:val="nil"/>
              <w:bottom w:val="single" w:sz="4" w:space="0" w:color="auto"/>
              <w:right w:val="single" w:sz="4" w:space="0" w:color="auto"/>
            </w:tcBorders>
            <w:noWrap/>
            <w:vAlign w:val="bottom"/>
            <w:hideMark/>
          </w:tcPr>
          <w:p w14:paraId="51B39D1B" w14:textId="41297A5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150,9</w:t>
            </w:r>
            <w:r w:rsidR="00E976A4" w:rsidRPr="00B8456B">
              <w:rPr>
                <w:rFonts w:eastAsia="Times New Roman" w:cstheme="minorHAnsi"/>
                <w:sz w:val="20"/>
                <w:szCs w:val="20"/>
                <w:lang w:eastAsia="en-CA"/>
              </w:rPr>
              <w:t>70</w:t>
            </w:r>
          </w:p>
        </w:tc>
      </w:tr>
      <w:tr w:rsidR="00402A9D" w:rsidRPr="00B8456B" w14:paraId="5B8D0907"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58D109F9"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2012</w:t>
            </w:r>
          </w:p>
        </w:tc>
        <w:tc>
          <w:tcPr>
            <w:tcW w:w="2000" w:type="dxa"/>
            <w:tcBorders>
              <w:top w:val="nil"/>
              <w:left w:val="nil"/>
              <w:bottom w:val="single" w:sz="4" w:space="0" w:color="auto"/>
              <w:right w:val="single" w:sz="4" w:space="0" w:color="auto"/>
            </w:tcBorders>
            <w:noWrap/>
            <w:vAlign w:val="bottom"/>
            <w:hideMark/>
          </w:tcPr>
          <w:p w14:paraId="667871FE"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136,921</w:t>
            </w:r>
          </w:p>
        </w:tc>
        <w:tc>
          <w:tcPr>
            <w:tcW w:w="1175" w:type="dxa"/>
            <w:tcBorders>
              <w:top w:val="nil"/>
              <w:left w:val="nil"/>
              <w:bottom w:val="single" w:sz="4" w:space="0" w:color="auto"/>
              <w:right w:val="single" w:sz="4" w:space="0" w:color="auto"/>
            </w:tcBorders>
            <w:noWrap/>
            <w:vAlign w:val="bottom"/>
            <w:hideMark/>
          </w:tcPr>
          <w:p w14:paraId="35BA03A0"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3C29EF9C"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90,066</w:t>
            </w:r>
          </w:p>
        </w:tc>
        <w:tc>
          <w:tcPr>
            <w:tcW w:w="2334" w:type="dxa"/>
            <w:tcBorders>
              <w:top w:val="nil"/>
              <w:left w:val="nil"/>
              <w:bottom w:val="single" w:sz="4" w:space="0" w:color="auto"/>
              <w:right w:val="single" w:sz="4" w:space="0" w:color="auto"/>
            </w:tcBorders>
            <w:noWrap/>
            <w:vAlign w:val="bottom"/>
            <w:hideMark/>
          </w:tcPr>
          <w:p w14:paraId="2FDA0F63" w14:textId="5F1B8F1A"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46,855</w:t>
            </w:r>
          </w:p>
        </w:tc>
      </w:tr>
      <w:tr w:rsidR="00402A9D" w:rsidRPr="00B8456B" w14:paraId="2206993B"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4CA036FF"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2013</w:t>
            </w:r>
          </w:p>
        </w:tc>
        <w:tc>
          <w:tcPr>
            <w:tcW w:w="2000" w:type="dxa"/>
            <w:tcBorders>
              <w:top w:val="nil"/>
              <w:left w:val="nil"/>
              <w:bottom w:val="single" w:sz="4" w:space="0" w:color="auto"/>
              <w:right w:val="single" w:sz="4" w:space="0" w:color="auto"/>
            </w:tcBorders>
            <w:noWrap/>
            <w:vAlign w:val="bottom"/>
            <w:hideMark/>
          </w:tcPr>
          <w:p w14:paraId="396AAC3B"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140,245</w:t>
            </w:r>
          </w:p>
        </w:tc>
        <w:tc>
          <w:tcPr>
            <w:tcW w:w="1175" w:type="dxa"/>
            <w:tcBorders>
              <w:top w:val="nil"/>
              <w:left w:val="nil"/>
              <w:bottom w:val="single" w:sz="4" w:space="0" w:color="auto"/>
              <w:right w:val="single" w:sz="4" w:space="0" w:color="auto"/>
            </w:tcBorders>
            <w:noWrap/>
            <w:vAlign w:val="bottom"/>
            <w:hideMark/>
          </w:tcPr>
          <w:p w14:paraId="4C5E13DF"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502D33F1"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104,670</w:t>
            </w:r>
          </w:p>
        </w:tc>
        <w:tc>
          <w:tcPr>
            <w:tcW w:w="2334" w:type="dxa"/>
            <w:tcBorders>
              <w:top w:val="nil"/>
              <w:left w:val="nil"/>
              <w:bottom w:val="single" w:sz="4" w:space="0" w:color="auto"/>
              <w:right w:val="single" w:sz="4" w:space="0" w:color="auto"/>
            </w:tcBorders>
            <w:noWrap/>
            <w:vAlign w:val="bottom"/>
            <w:hideMark/>
          </w:tcPr>
          <w:p w14:paraId="712E8DE6" w14:textId="7F073C8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35,57</w:t>
            </w:r>
            <w:r w:rsidR="00E976A4" w:rsidRPr="00B8456B">
              <w:rPr>
                <w:rFonts w:eastAsia="Times New Roman" w:cstheme="minorHAnsi"/>
                <w:sz w:val="20"/>
                <w:szCs w:val="20"/>
                <w:lang w:eastAsia="en-CA"/>
              </w:rPr>
              <w:t>6</w:t>
            </w:r>
          </w:p>
        </w:tc>
      </w:tr>
      <w:tr w:rsidR="00402A9D" w:rsidRPr="00B8456B" w14:paraId="2BD47D99"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72313CD4"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2014</w:t>
            </w:r>
          </w:p>
        </w:tc>
        <w:tc>
          <w:tcPr>
            <w:tcW w:w="2000" w:type="dxa"/>
            <w:tcBorders>
              <w:top w:val="nil"/>
              <w:left w:val="nil"/>
              <w:bottom w:val="single" w:sz="4" w:space="0" w:color="auto"/>
              <w:right w:val="single" w:sz="4" w:space="0" w:color="auto"/>
            </w:tcBorders>
            <w:noWrap/>
            <w:vAlign w:val="bottom"/>
            <w:hideMark/>
          </w:tcPr>
          <w:p w14:paraId="65F78D65"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219,922</w:t>
            </w:r>
          </w:p>
        </w:tc>
        <w:tc>
          <w:tcPr>
            <w:tcW w:w="1175" w:type="dxa"/>
            <w:tcBorders>
              <w:top w:val="nil"/>
              <w:left w:val="nil"/>
              <w:bottom w:val="single" w:sz="4" w:space="0" w:color="auto"/>
              <w:right w:val="single" w:sz="4" w:space="0" w:color="auto"/>
            </w:tcBorders>
            <w:noWrap/>
            <w:vAlign w:val="bottom"/>
            <w:hideMark/>
          </w:tcPr>
          <w:p w14:paraId="64F8499C"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242CD16C"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109,306</w:t>
            </w:r>
          </w:p>
        </w:tc>
        <w:tc>
          <w:tcPr>
            <w:tcW w:w="2334" w:type="dxa"/>
            <w:tcBorders>
              <w:top w:val="nil"/>
              <w:left w:val="nil"/>
              <w:bottom w:val="single" w:sz="4" w:space="0" w:color="auto"/>
              <w:right w:val="single" w:sz="4" w:space="0" w:color="auto"/>
            </w:tcBorders>
            <w:noWrap/>
            <w:vAlign w:val="bottom"/>
            <w:hideMark/>
          </w:tcPr>
          <w:p w14:paraId="666AD75A" w14:textId="3720FB0B"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110,616</w:t>
            </w:r>
          </w:p>
        </w:tc>
      </w:tr>
      <w:tr w:rsidR="00402A9D" w:rsidRPr="00B8456B" w14:paraId="200B477F"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11E3319F"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2015</w:t>
            </w:r>
          </w:p>
        </w:tc>
        <w:tc>
          <w:tcPr>
            <w:tcW w:w="2000" w:type="dxa"/>
            <w:tcBorders>
              <w:top w:val="nil"/>
              <w:left w:val="nil"/>
              <w:bottom w:val="single" w:sz="4" w:space="0" w:color="auto"/>
              <w:right w:val="single" w:sz="4" w:space="0" w:color="auto"/>
            </w:tcBorders>
            <w:noWrap/>
            <w:vAlign w:val="bottom"/>
            <w:hideMark/>
          </w:tcPr>
          <w:p w14:paraId="53F36ED6"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175" w:type="dxa"/>
            <w:tcBorders>
              <w:top w:val="nil"/>
              <w:left w:val="nil"/>
              <w:bottom w:val="single" w:sz="4" w:space="0" w:color="auto"/>
              <w:right w:val="single" w:sz="4" w:space="0" w:color="auto"/>
            </w:tcBorders>
            <w:noWrap/>
            <w:vAlign w:val="bottom"/>
            <w:hideMark/>
          </w:tcPr>
          <w:p w14:paraId="3CEFEBEC"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5B3A90F4"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2334" w:type="dxa"/>
            <w:tcBorders>
              <w:top w:val="nil"/>
              <w:left w:val="nil"/>
              <w:bottom w:val="single" w:sz="4" w:space="0" w:color="auto"/>
              <w:right w:val="single" w:sz="4" w:space="0" w:color="auto"/>
            </w:tcBorders>
            <w:noWrap/>
            <w:vAlign w:val="bottom"/>
            <w:hideMark/>
          </w:tcPr>
          <w:p w14:paraId="70D7C0C5"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402A9D" w:rsidRPr="00B8456B" w14:paraId="57385241"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6BC28569"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2016</w:t>
            </w:r>
          </w:p>
        </w:tc>
        <w:tc>
          <w:tcPr>
            <w:tcW w:w="2000" w:type="dxa"/>
            <w:tcBorders>
              <w:top w:val="nil"/>
              <w:left w:val="nil"/>
              <w:bottom w:val="single" w:sz="4" w:space="0" w:color="auto"/>
              <w:right w:val="single" w:sz="4" w:space="0" w:color="auto"/>
            </w:tcBorders>
            <w:noWrap/>
            <w:vAlign w:val="bottom"/>
            <w:hideMark/>
          </w:tcPr>
          <w:p w14:paraId="208508C7"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175" w:type="dxa"/>
            <w:tcBorders>
              <w:top w:val="nil"/>
              <w:left w:val="nil"/>
              <w:bottom w:val="single" w:sz="4" w:space="0" w:color="auto"/>
              <w:right w:val="single" w:sz="4" w:space="0" w:color="auto"/>
            </w:tcBorders>
            <w:noWrap/>
            <w:vAlign w:val="bottom"/>
            <w:hideMark/>
          </w:tcPr>
          <w:p w14:paraId="2AAE890B"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04CC412B"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2334" w:type="dxa"/>
            <w:tcBorders>
              <w:top w:val="nil"/>
              <w:left w:val="nil"/>
              <w:bottom w:val="single" w:sz="4" w:space="0" w:color="auto"/>
              <w:right w:val="single" w:sz="4" w:space="0" w:color="auto"/>
            </w:tcBorders>
            <w:noWrap/>
            <w:vAlign w:val="bottom"/>
            <w:hideMark/>
          </w:tcPr>
          <w:p w14:paraId="2AECBDC1"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402A9D" w:rsidRPr="00B8456B" w14:paraId="7B34A2EA"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26B869D9"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2017</w:t>
            </w:r>
          </w:p>
        </w:tc>
        <w:tc>
          <w:tcPr>
            <w:tcW w:w="2000" w:type="dxa"/>
            <w:tcBorders>
              <w:top w:val="nil"/>
              <w:left w:val="nil"/>
              <w:bottom w:val="single" w:sz="4" w:space="0" w:color="auto"/>
              <w:right w:val="single" w:sz="4" w:space="0" w:color="auto"/>
            </w:tcBorders>
            <w:noWrap/>
            <w:vAlign w:val="bottom"/>
            <w:hideMark/>
          </w:tcPr>
          <w:p w14:paraId="0BC16255"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175" w:type="dxa"/>
            <w:tcBorders>
              <w:top w:val="nil"/>
              <w:left w:val="nil"/>
              <w:bottom w:val="single" w:sz="4" w:space="0" w:color="auto"/>
              <w:right w:val="single" w:sz="4" w:space="0" w:color="auto"/>
            </w:tcBorders>
            <w:noWrap/>
            <w:vAlign w:val="bottom"/>
            <w:hideMark/>
          </w:tcPr>
          <w:p w14:paraId="14E608B6"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57E8D993"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2334" w:type="dxa"/>
            <w:tcBorders>
              <w:top w:val="nil"/>
              <w:left w:val="nil"/>
              <w:bottom w:val="single" w:sz="4" w:space="0" w:color="auto"/>
              <w:right w:val="single" w:sz="4" w:space="0" w:color="auto"/>
            </w:tcBorders>
            <w:noWrap/>
            <w:vAlign w:val="bottom"/>
            <w:hideMark/>
          </w:tcPr>
          <w:p w14:paraId="1AEFC3BB"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402A9D" w:rsidRPr="00B8456B" w14:paraId="63808FE3"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2D5ADDE0"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2018</w:t>
            </w:r>
          </w:p>
        </w:tc>
        <w:tc>
          <w:tcPr>
            <w:tcW w:w="2000" w:type="dxa"/>
            <w:tcBorders>
              <w:top w:val="nil"/>
              <w:left w:val="nil"/>
              <w:bottom w:val="single" w:sz="4" w:space="0" w:color="auto"/>
              <w:right w:val="single" w:sz="4" w:space="0" w:color="auto"/>
            </w:tcBorders>
            <w:noWrap/>
            <w:vAlign w:val="bottom"/>
            <w:hideMark/>
          </w:tcPr>
          <w:p w14:paraId="11FE9F63"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175" w:type="dxa"/>
            <w:tcBorders>
              <w:top w:val="nil"/>
              <w:left w:val="nil"/>
              <w:bottom w:val="single" w:sz="4" w:space="0" w:color="auto"/>
              <w:right w:val="single" w:sz="4" w:space="0" w:color="auto"/>
            </w:tcBorders>
            <w:noWrap/>
            <w:vAlign w:val="bottom"/>
            <w:hideMark/>
          </w:tcPr>
          <w:p w14:paraId="7035579A"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496EA974"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2334" w:type="dxa"/>
            <w:tcBorders>
              <w:top w:val="nil"/>
              <w:left w:val="nil"/>
              <w:bottom w:val="single" w:sz="4" w:space="0" w:color="auto"/>
              <w:right w:val="single" w:sz="4" w:space="0" w:color="auto"/>
            </w:tcBorders>
            <w:noWrap/>
            <w:vAlign w:val="bottom"/>
            <w:hideMark/>
          </w:tcPr>
          <w:p w14:paraId="3567A062"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402A9D" w:rsidRPr="00B8456B" w14:paraId="0E206F9D"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561CF1D2"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lastRenderedPageBreak/>
              <w:t>2019</w:t>
            </w:r>
          </w:p>
        </w:tc>
        <w:tc>
          <w:tcPr>
            <w:tcW w:w="2000" w:type="dxa"/>
            <w:tcBorders>
              <w:top w:val="nil"/>
              <w:left w:val="nil"/>
              <w:bottom w:val="single" w:sz="4" w:space="0" w:color="auto"/>
              <w:right w:val="single" w:sz="4" w:space="0" w:color="auto"/>
            </w:tcBorders>
            <w:noWrap/>
            <w:vAlign w:val="bottom"/>
            <w:hideMark/>
          </w:tcPr>
          <w:p w14:paraId="2F75F6E2"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175" w:type="dxa"/>
            <w:tcBorders>
              <w:top w:val="nil"/>
              <w:left w:val="nil"/>
              <w:bottom w:val="single" w:sz="4" w:space="0" w:color="auto"/>
              <w:right w:val="single" w:sz="4" w:space="0" w:color="auto"/>
            </w:tcBorders>
            <w:noWrap/>
            <w:vAlign w:val="bottom"/>
            <w:hideMark/>
          </w:tcPr>
          <w:p w14:paraId="5B8CFDAA"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4AEC3A20"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2334" w:type="dxa"/>
            <w:tcBorders>
              <w:top w:val="nil"/>
              <w:left w:val="nil"/>
              <w:bottom w:val="single" w:sz="4" w:space="0" w:color="auto"/>
              <w:right w:val="single" w:sz="4" w:space="0" w:color="auto"/>
            </w:tcBorders>
            <w:noWrap/>
            <w:vAlign w:val="bottom"/>
            <w:hideMark/>
          </w:tcPr>
          <w:p w14:paraId="637EAF85"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402A9D" w:rsidRPr="00B8456B" w14:paraId="53F55965" w14:textId="77777777" w:rsidTr="0028320B">
        <w:trPr>
          <w:trHeight w:val="240"/>
        </w:trPr>
        <w:tc>
          <w:tcPr>
            <w:tcW w:w="1640" w:type="dxa"/>
            <w:tcBorders>
              <w:top w:val="nil"/>
              <w:left w:val="single" w:sz="4" w:space="0" w:color="auto"/>
              <w:bottom w:val="single" w:sz="4" w:space="0" w:color="auto"/>
              <w:right w:val="single" w:sz="4" w:space="0" w:color="auto"/>
            </w:tcBorders>
            <w:noWrap/>
            <w:vAlign w:val="bottom"/>
            <w:hideMark/>
          </w:tcPr>
          <w:p w14:paraId="0D669BE7"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2020</w:t>
            </w:r>
          </w:p>
        </w:tc>
        <w:tc>
          <w:tcPr>
            <w:tcW w:w="2000" w:type="dxa"/>
            <w:tcBorders>
              <w:top w:val="nil"/>
              <w:left w:val="nil"/>
              <w:bottom w:val="single" w:sz="4" w:space="0" w:color="auto"/>
              <w:right w:val="single" w:sz="4" w:space="0" w:color="auto"/>
            </w:tcBorders>
            <w:noWrap/>
            <w:vAlign w:val="bottom"/>
            <w:hideMark/>
          </w:tcPr>
          <w:p w14:paraId="3477936F"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175" w:type="dxa"/>
            <w:tcBorders>
              <w:top w:val="nil"/>
              <w:left w:val="nil"/>
              <w:bottom w:val="single" w:sz="4" w:space="0" w:color="auto"/>
              <w:right w:val="single" w:sz="4" w:space="0" w:color="auto"/>
            </w:tcBorders>
            <w:noWrap/>
            <w:vAlign w:val="bottom"/>
            <w:hideMark/>
          </w:tcPr>
          <w:p w14:paraId="6A5FCABC"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n/a</w:t>
            </w:r>
          </w:p>
        </w:tc>
        <w:tc>
          <w:tcPr>
            <w:tcW w:w="2131" w:type="dxa"/>
            <w:tcBorders>
              <w:top w:val="nil"/>
              <w:left w:val="nil"/>
              <w:bottom w:val="single" w:sz="4" w:space="0" w:color="auto"/>
              <w:right w:val="single" w:sz="4" w:space="0" w:color="auto"/>
            </w:tcBorders>
            <w:noWrap/>
            <w:vAlign w:val="bottom"/>
            <w:hideMark/>
          </w:tcPr>
          <w:p w14:paraId="77F17E16"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2334" w:type="dxa"/>
            <w:tcBorders>
              <w:top w:val="nil"/>
              <w:left w:val="nil"/>
              <w:bottom w:val="single" w:sz="4" w:space="0" w:color="auto"/>
              <w:right w:val="single" w:sz="4" w:space="0" w:color="auto"/>
            </w:tcBorders>
            <w:noWrap/>
            <w:vAlign w:val="bottom"/>
            <w:hideMark/>
          </w:tcPr>
          <w:p w14:paraId="067F1280"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bl>
    <w:p w14:paraId="1D3A75AE" w14:textId="77777777" w:rsidR="005720D3" w:rsidRDefault="00E754ED" w:rsidP="00402A9D">
      <w:pPr>
        <w:spacing w:after="0" w:line="240" w:lineRule="auto"/>
        <w:rPr>
          <w:b/>
          <w:bCs/>
          <w:sz w:val="20"/>
          <w:szCs w:val="20"/>
        </w:rPr>
      </w:pPr>
      <w:r w:rsidRPr="00E754ED">
        <w:rPr>
          <w:b/>
          <w:bCs/>
          <w:sz w:val="20"/>
          <w:szCs w:val="20"/>
        </w:rPr>
        <w:t>Note</w:t>
      </w:r>
      <w:r w:rsidR="00DF309A">
        <w:rPr>
          <w:b/>
          <w:bCs/>
          <w:sz w:val="20"/>
          <w:szCs w:val="20"/>
        </w:rPr>
        <w:t>:</w:t>
      </w:r>
      <w:r w:rsidRPr="00903F29">
        <w:rPr>
          <w:b/>
          <w:bCs/>
          <w:sz w:val="20"/>
          <w:szCs w:val="20"/>
        </w:rPr>
        <w:t xml:space="preserve"> </w:t>
      </w:r>
      <w:r w:rsidRPr="00AD749B">
        <w:rPr>
          <w:sz w:val="20"/>
          <w:szCs w:val="20"/>
        </w:rPr>
        <w:t>No federal amount available from CAPP.</w:t>
      </w:r>
      <w:r w:rsidRPr="00903F29">
        <w:rPr>
          <w:b/>
          <w:bCs/>
          <w:sz w:val="20"/>
          <w:szCs w:val="20"/>
        </w:rPr>
        <w:t xml:space="preserve"> </w:t>
      </w:r>
      <w:r>
        <w:rPr>
          <w:b/>
          <w:bCs/>
          <w:sz w:val="20"/>
          <w:szCs w:val="20"/>
        </w:rPr>
        <w:t xml:space="preserve"> </w:t>
      </w:r>
    </w:p>
    <w:p w14:paraId="06734792" w14:textId="1643F5E9" w:rsidR="00402A9D" w:rsidRDefault="00402A9D" w:rsidP="00402A9D">
      <w:pPr>
        <w:spacing w:after="0" w:line="240" w:lineRule="auto"/>
      </w:pPr>
      <w:r w:rsidRPr="00E778AA">
        <w:rPr>
          <w:b/>
          <w:bCs/>
          <w:sz w:val="20"/>
          <w:szCs w:val="20"/>
        </w:rPr>
        <w:t>Source:</w:t>
      </w:r>
      <w:r w:rsidR="007C7849">
        <w:rPr>
          <w:b/>
          <w:bCs/>
          <w:sz w:val="20"/>
          <w:szCs w:val="20"/>
        </w:rPr>
        <w:t xml:space="preserve"> </w:t>
      </w:r>
      <w:r w:rsidR="007C7849" w:rsidRPr="00AD749B">
        <w:rPr>
          <w:sz w:val="20"/>
          <w:szCs w:val="20"/>
        </w:rPr>
        <w:t>Canadian Association of Petroleum Producers</w:t>
      </w:r>
      <w:r w:rsidRPr="00AD749B">
        <w:rPr>
          <w:sz w:val="20"/>
          <w:szCs w:val="20"/>
        </w:rPr>
        <w:t xml:space="preserve"> </w:t>
      </w:r>
      <w:r w:rsidR="007C7849" w:rsidRPr="00AD749B">
        <w:rPr>
          <w:sz w:val="20"/>
          <w:szCs w:val="20"/>
        </w:rPr>
        <w:t>(</w:t>
      </w:r>
      <w:r w:rsidR="00E778AA" w:rsidRPr="00AD749B">
        <w:rPr>
          <w:sz w:val="20"/>
          <w:szCs w:val="20"/>
        </w:rPr>
        <w:t>CAPP</w:t>
      </w:r>
      <w:r w:rsidR="007C7849" w:rsidRPr="00AD749B">
        <w:rPr>
          <w:sz w:val="20"/>
          <w:szCs w:val="20"/>
        </w:rPr>
        <w:t>) Table</w:t>
      </w:r>
      <w:r w:rsidR="00E778AA" w:rsidRPr="00AD749B">
        <w:rPr>
          <w:sz w:val="20"/>
          <w:szCs w:val="20"/>
        </w:rPr>
        <w:t xml:space="preserve"> 04-01 Net Cash Expenditures by Province, </w:t>
      </w:r>
      <w:r w:rsidR="007C7849" w:rsidRPr="00AD749B">
        <w:rPr>
          <w:sz w:val="20"/>
          <w:szCs w:val="20"/>
        </w:rPr>
        <w:t xml:space="preserve">Table </w:t>
      </w:r>
      <w:r w:rsidR="00E778AA" w:rsidRPr="00AD749B">
        <w:rPr>
          <w:sz w:val="20"/>
          <w:szCs w:val="20"/>
        </w:rPr>
        <w:t>04-01 Net Cash Expenditures Canada</w:t>
      </w:r>
      <w:r w:rsidR="007C7849" w:rsidRPr="00AD749B">
        <w:rPr>
          <w:sz w:val="20"/>
          <w:szCs w:val="20"/>
        </w:rPr>
        <w:t xml:space="preserve">, accessed </w:t>
      </w:r>
      <w:r w:rsidR="00C35457" w:rsidRPr="00AD749B">
        <w:rPr>
          <w:sz w:val="20"/>
          <w:szCs w:val="20"/>
        </w:rPr>
        <w:t>December 12, 2025</w:t>
      </w:r>
      <w:r w:rsidR="00E778AA" w:rsidRPr="00E778AA">
        <w:rPr>
          <w:b/>
          <w:bCs/>
          <w:sz w:val="20"/>
          <w:szCs w:val="20"/>
        </w:rPr>
        <w:t>.</w:t>
      </w:r>
    </w:p>
    <w:p w14:paraId="0660D6E4" w14:textId="77777777" w:rsidR="00677DF5" w:rsidRDefault="00677DF5" w:rsidP="00402A9D">
      <w:pPr>
        <w:spacing w:after="0" w:line="240" w:lineRule="auto"/>
        <w:rPr>
          <w:b/>
          <w:bCs/>
          <w:sz w:val="20"/>
          <w:szCs w:val="20"/>
        </w:rPr>
      </w:pPr>
    </w:p>
    <w:p w14:paraId="09DEB0AE" w14:textId="77777777" w:rsidR="00AD749B" w:rsidRDefault="00402A9D" w:rsidP="00402A9D">
      <w:pPr>
        <w:spacing w:after="0" w:line="240" w:lineRule="auto"/>
        <w:rPr>
          <w:b/>
          <w:bCs/>
          <w:sz w:val="20"/>
          <w:szCs w:val="20"/>
        </w:rPr>
      </w:pPr>
      <w:r w:rsidRPr="00903F29">
        <w:rPr>
          <w:b/>
          <w:bCs/>
          <w:sz w:val="20"/>
          <w:szCs w:val="20"/>
        </w:rPr>
        <w:t>Table</w:t>
      </w:r>
      <w:r>
        <w:rPr>
          <w:b/>
          <w:bCs/>
          <w:sz w:val="20"/>
          <w:szCs w:val="20"/>
        </w:rPr>
        <w:t xml:space="preserve"> 3</w:t>
      </w:r>
    </w:p>
    <w:p w14:paraId="3B73F533" w14:textId="4E442B5E" w:rsidR="00402A9D" w:rsidRPr="004901A0" w:rsidRDefault="00402A9D" w:rsidP="00402A9D">
      <w:pPr>
        <w:spacing w:after="0" w:line="240" w:lineRule="auto"/>
        <w:rPr>
          <w:b/>
          <w:bCs/>
          <w:sz w:val="20"/>
          <w:szCs w:val="20"/>
        </w:rPr>
      </w:pPr>
      <w:r w:rsidRPr="004901A0">
        <w:rPr>
          <w:b/>
          <w:bCs/>
          <w:sz w:val="20"/>
          <w:szCs w:val="20"/>
        </w:rPr>
        <w:t>Difference between the total provincial royalties reported by CAPP and StatCan</w:t>
      </w:r>
      <w:r w:rsidR="00C35457">
        <w:rPr>
          <w:b/>
          <w:bCs/>
          <w:sz w:val="20"/>
          <w:szCs w:val="20"/>
        </w:rPr>
        <w:t>, 2010 to 2020</w:t>
      </w:r>
    </w:p>
    <w:tbl>
      <w:tblPr>
        <w:tblW w:w="7000" w:type="dxa"/>
        <w:tblLook w:val="04A0" w:firstRow="1" w:lastRow="0" w:firstColumn="1" w:lastColumn="0" w:noHBand="0" w:noVBand="1"/>
      </w:tblPr>
      <w:tblGrid>
        <w:gridCol w:w="2020"/>
        <w:gridCol w:w="2020"/>
        <w:gridCol w:w="1480"/>
        <w:gridCol w:w="1480"/>
      </w:tblGrid>
      <w:tr w:rsidR="000C3C92" w:rsidRPr="00B8456B" w14:paraId="716067D7" w14:textId="77777777" w:rsidTr="00285D15">
        <w:trPr>
          <w:trHeight w:val="780"/>
        </w:trPr>
        <w:tc>
          <w:tcPr>
            <w:tcW w:w="2020" w:type="dxa"/>
            <w:tcBorders>
              <w:top w:val="single" w:sz="4" w:space="0" w:color="auto"/>
              <w:left w:val="single" w:sz="4" w:space="0" w:color="auto"/>
              <w:bottom w:val="single" w:sz="4" w:space="0" w:color="auto"/>
              <w:right w:val="single" w:sz="4" w:space="0" w:color="auto"/>
            </w:tcBorders>
          </w:tcPr>
          <w:p w14:paraId="6A926849" w14:textId="77777777" w:rsidR="000C3C92" w:rsidRPr="00B8456B" w:rsidRDefault="000C3C92" w:rsidP="000C3C92">
            <w:pPr>
              <w:spacing w:after="0" w:line="240" w:lineRule="auto"/>
              <w:rPr>
                <w:rFonts w:eastAsia="Times New Roman" w:cstheme="minorHAnsi"/>
                <w:sz w:val="20"/>
                <w:szCs w:val="20"/>
                <w:lang w:eastAsia="en-CA"/>
              </w:rPr>
            </w:pPr>
          </w:p>
          <w:p w14:paraId="0DB7B2A8" w14:textId="77777777" w:rsidR="000C3C92" w:rsidRPr="00B8456B" w:rsidRDefault="000C3C92" w:rsidP="000C3C92">
            <w:pPr>
              <w:spacing w:after="0" w:line="240" w:lineRule="auto"/>
              <w:rPr>
                <w:rFonts w:eastAsia="Times New Roman" w:cstheme="minorHAnsi"/>
                <w:b/>
                <w:bCs/>
                <w:sz w:val="20"/>
                <w:szCs w:val="20"/>
                <w:lang w:eastAsia="en-CA"/>
              </w:rPr>
            </w:pPr>
          </w:p>
        </w:tc>
        <w:tc>
          <w:tcPr>
            <w:tcW w:w="3500" w:type="dxa"/>
            <w:gridSpan w:val="2"/>
            <w:tcBorders>
              <w:top w:val="single" w:sz="4" w:space="0" w:color="auto"/>
              <w:left w:val="single" w:sz="4" w:space="0" w:color="auto"/>
              <w:bottom w:val="single" w:sz="4" w:space="0" w:color="auto"/>
              <w:right w:val="single" w:sz="4" w:space="0" w:color="auto"/>
            </w:tcBorders>
            <w:vAlign w:val="center"/>
            <w:hideMark/>
          </w:tcPr>
          <w:p w14:paraId="259F3D00" w14:textId="7014BB72" w:rsidR="000C3C92" w:rsidRPr="00B8456B" w:rsidRDefault="000C3C92" w:rsidP="00B8456B">
            <w:pPr>
              <w:spacing w:after="0" w:line="240" w:lineRule="auto"/>
              <w:jc w:val="center"/>
              <w:rPr>
                <w:rFonts w:eastAsia="Times New Roman" w:cstheme="minorHAnsi"/>
                <w:b/>
                <w:bCs/>
                <w:sz w:val="20"/>
                <w:szCs w:val="20"/>
                <w:lang w:eastAsia="en-CA"/>
              </w:rPr>
            </w:pPr>
            <w:r w:rsidRPr="00B8456B">
              <w:rPr>
                <w:rFonts w:eastAsia="Times New Roman" w:cstheme="minorHAnsi"/>
                <w:b/>
                <w:bCs/>
                <w:sz w:val="20"/>
                <w:szCs w:val="20"/>
                <w:lang w:eastAsia="en-CA"/>
              </w:rPr>
              <w:t xml:space="preserve">Provincial </w:t>
            </w:r>
            <w:r w:rsidR="00176FC5">
              <w:rPr>
                <w:rFonts w:eastAsia="Times New Roman" w:cstheme="minorHAnsi"/>
                <w:b/>
                <w:bCs/>
                <w:sz w:val="20"/>
                <w:szCs w:val="20"/>
                <w:lang w:eastAsia="en-CA"/>
              </w:rPr>
              <w:t>r</w:t>
            </w:r>
            <w:r w:rsidRPr="00B8456B">
              <w:rPr>
                <w:rFonts w:eastAsia="Times New Roman" w:cstheme="minorHAnsi"/>
                <w:b/>
                <w:bCs/>
                <w:sz w:val="20"/>
                <w:szCs w:val="20"/>
                <w:lang w:eastAsia="en-CA"/>
              </w:rPr>
              <w:t xml:space="preserve">oyalties </w:t>
            </w:r>
            <w:r w:rsidR="00176FC5">
              <w:rPr>
                <w:rFonts w:eastAsia="Times New Roman" w:cstheme="minorHAnsi"/>
                <w:b/>
                <w:bCs/>
                <w:sz w:val="20"/>
                <w:szCs w:val="20"/>
                <w:lang w:eastAsia="en-CA"/>
              </w:rPr>
              <w:t>d</w:t>
            </w:r>
            <w:r w:rsidRPr="00B8456B">
              <w:rPr>
                <w:rFonts w:eastAsia="Times New Roman" w:cstheme="minorHAnsi"/>
                <w:b/>
                <w:bCs/>
                <w:sz w:val="20"/>
                <w:szCs w:val="20"/>
                <w:lang w:eastAsia="en-CA"/>
              </w:rPr>
              <w:t>ata</w:t>
            </w:r>
          </w:p>
          <w:p w14:paraId="4934A9FC" w14:textId="0FF00513" w:rsidR="000C3C92" w:rsidRPr="00B8456B" w:rsidRDefault="000C3C92" w:rsidP="00B8456B">
            <w:pPr>
              <w:spacing w:after="0" w:line="240" w:lineRule="auto"/>
              <w:jc w:val="center"/>
              <w:rPr>
                <w:rFonts w:eastAsia="Times New Roman" w:cstheme="minorHAnsi"/>
                <w:b/>
                <w:bCs/>
                <w:sz w:val="20"/>
                <w:szCs w:val="20"/>
                <w:lang w:eastAsia="en-CA"/>
              </w:rPr>
            </w:pPr>
          </w:p>
        </w:tc>
        <w:tc>
          <w:tcPr>
            <w:tcW w:w="1480" w:type="dxa"/>
            <w:tcBorders>
              <w:top w:val="single" w:sz="4" w:space="0" w:color="auto"/>
              <w:left w:val="nil"/>
              <w:bottom w:val="single" w:sz="4" w:space="0" w:color="auto"/>
              <w:right w:val="single" w:sz="4" w:space="0" w:color="auto"/>
            </w:tcBorders>
            <w:vAlign w:val="center"/>
            <w:hideMark/>
          </w:tcPr>
          <w:p w14:paraId="0469FECB" w14:textId="2F5ED778" w:rsidR="000C3C92" w:rsidRPr="00B8456B" w:rsidRDefault="000C3C92" w:rsidP="00B8456B">
            <w:pPr>
              <w:spacing w:after="0" w:line="240" w:lineRule="auto"/>
              <w:jc w:val="center"/>
              <w:rPr>
                <w:rFonts w:eastAsia="Times New Roman" w:cstheme="minorHAnsi"/>
                <w:b/>
                <w:bCs/>
                <w:color w:val="FF0000"/>
                <w:sz w:val="20"/>
                <w:szCs w:val="20"/>
                <w:lang w:eastAsia="en-CA"/>
              </w:rPr>
            </w:pPr>
          </w:p>
        </w:tc>
      </w:tr>
      <w:tr w:rsidR="000C3C92" w:rsidRPr="00B8456B" w14:paraId="4146F837" w14:textId="77777777" w:rsidTr="00FE04FC">
        <w:trPr>
          <w:trHeight w:val="780"/>
        </w:trPr>
        <w:tc>
          <w:tcPr>
            <w:tcW w:w="2020" w:type="dxa"/>
            <w:tcBorders>
              <w:top w:val="single" w:sz="4" w:space="0" w:color="auto"/>
              <w:left w:val="single" w:sz="4" w:space="0" w:color="auto"/>
              <w:bottom w:val="single" w:sz="4" w:space="0" w:color="auto"/>
              <w:right w:val="single" w:sz="4" w:space="0" w:color="auto"/>
            </w:tcBorders>
          </w:tcPr>
          <w:p w14:paraId="01ACD76D" w14:textId="0F2AB756" w:rsidR="000C3C92" w:rsidRPr="00B8456B" w:rsidRDefault="000C3C92" w:rsidP="000C3C92">
            <w:pPr>
              <w:spacing w:after="0" w:line="240" w:lineRule="auto"/>
              <w:rPr>
                <w:rFonts w:eastAsia="Times New Roman" w:cstheme="minorHAnsi"/>
                <w:sz w:val="20"/>
                <w:szCs w:val="20"/>
                <w:lang w:eastAsia="en-CA"/>
              </w:rPr>
            </w:pPr>
            <w:r w:rsidRPr="00B8456B">
              <w:rPr>
                <w:rFonts w:eastAsia="Times New Roman" w:cstheme="minorHAnsi"/>
                <w:b/>
                <w:bCs/>
                <w:sz w:val="20"/>
                <w:szCs w:val="20"/>
                <w:lang w:eastAsia="en-CA"/>
              </w:rPr>
              <w:t>Year</w:t>
            </w:r>
          </w:p>
        </w:tc>
        <w:tc>
          <w:tcPr>
            <w:tcW w:w="2020" w:type="dxa"/>
            <w:tcBorders>
              <w:top w:val="single" w:sz="4" w:space="0" w:color="auto"/>
              <w:left w:val="single" w:sz="4" w:space="0" w:color="auto"/>
              <w:bottom w:val="single" w:sz="4" w:space="0" w:color="auto"/>
              <w:right w:val="single" w:sz="4" w:space="0" w:color="auto"/>
            </w:tcBorders>
            <w:vAlign w:val="center"/>
          </w:tcPr>
          <w:p w14:paraId="5ED132D5" w14:textId="6C350250" w:rsidR="000C3C92" w:rsidRPr="00B8456B" w:rsidRDefault="000C3C92" w:rsidP="000C3C92">
            <w:pPr>
              <w:spacing w:after="0" w:line="240" w:lineRule="auto"/>
              <w:jc w:val="right"/>
              <w:rPr>
                <w:rFonts w:eastAsia="Times New Roman" w:cstheme="minorHAnsi"/>
                <w:b/>
                <w:bCs/>
                <w:sz w:val="20"/>
                <w:szCs w:val="20"/>
                <w:lang w:eastAsia="en-CA"/>
              </w:rPr>
            </w:pPr>
            <w:r w:rsidRPr="00B8456B">
              <w:rPr>
                <w:rFonts w:eastAsia="Times New Roman" w:cstheme="minorHAnsi"/>
                <w:b/>
                <w:bCs/>
                <w:sz w:val="20"/>
                <w:szCs w:val="20"/>
                <w:lang w:eastAsia="en-CA"/>
              </w:rPr>
              <w:t>StatCan survey</w:t>
            </w:r>
          </w:p>
        </w:tc>
        <w:tc>
          <w:tcPr>
            <w:tcW w:w="1480" w:type="dxa"/>
            <w:tcBorders>
              <w:top w:val="single" w:sz="4" w:space="0" w:color="auto"/>
              <w:left w:val="nil"/>
              <w:bottom w:val="single" w:sz="4" w:space="0" w:color="auto"/>
              <w:right w:val="single" w:sz="4" w:space="0" w:color="auto"/>
            </w:tcBorders>
            <w:vAlign w:val="center"/>
          </w:tcPr>
          <w:p w14:paraId="1A98051A" w14:textId="4252330A" w:rsidR="000C3C92" w:rsidRPr="00B8456B" w:rsidRDefault="000C3C92" w:rsidP="000C3C92">
            <w:pPr>
              <w:spacing w:after="0" w:line="240" w:lineRule="auto"/>
              <w:jc w:val="right"/>
              <w:rPr>
                <w:rFonts w:eastAsia="Times New Roman" w:cstheme="minorHAnsi"/>
                <w:b/>
                <w:bCs/>
                <w:sz w:val="20"/>
                <w:szCs w:val="20"/>
                <w:lang w:eastAsia="en-CA"/>
              </w:rPr>
            </w:pPr>
            <w:r w:rsidRPr="00B8456B">
              <w:rPr>
                <w:rFonts w:eastAsia="Times New Roman" w:cstheme="minorHAnsi"/>
                <w:b/>
                <w:bCs/>
                <w:sz w:val="20"/>
                <w:szCs w:val="20"/>
                <w:lang w:eastAsia="en-CA"/>
              </w:rPr>
              <w:t>CAPP</w:t>
            </w:r>
          </w:p>
        </w:tc>
        <w:tc>
          <w:tcPr>
            <w:tcW w:w="1480" w:type="dxa"/>
            <w:tcBorders>
              <w:top w:val="single" w:sz="4" w:space="0" w:color="auto"/>
              <w:left w:val="nil"/>
              <w:bottom w:val="single" w:sz="4" w:space="0" w:color="auto"/>
              <w:right w:val="single" w:sz="4" w:space="0" w:color="auto"/>
            </w:tcBorders>
            <w:vAlign w:val="center"/>
          </w:tcPr>
          <w:p w14:paraId="55087A41" w14:textId="5C98F4D5" w:rsidR="000C3C92" w:rsidRPr="00B8456B" w:rsidRDefault="000C3C92" w:rsidP="000C3C92">
            <w:pPr>
              <w:spacing w:after="0" w:line="240" w:lineRule="auto"/>
              <w:jc w:val="right"/>
              <w:rPr>
                <w:rFonts w:eastAsia="Times New Roman" w:cstheme="minorHAnsi"/>
                <w:b/>
                <w:bCs/>
                <w:sz w:val="20"/>
                <w:szCs w:val="20"/>
                <w:lang w:eastAsia="en-CA"/>
              </w:rPr>
            </w:pPr>
            <w:r w:rsidRPr="00B8456B">
              <w:rPr>
                <w:rFonts w:eastAsia="Times New Roman" w:cstheme="minorHAnsi"/>
                <w:b/>
                <w:bCs/>
                <w:sz w:val="20"/>
                <w:szCs w:val="20"/>
                <w:lang w:eastAsia="en-CA"/>
              </w:rPr>
              <w:t>Difference</w:t>
            </w:r>
          </w:p>
        </w:tc>
      </w:tr>
      <w:tr w:rsidR="00AD749B" w:rsidRPr="00B8456B" w14:paraId="4CF4FCB4" w14:textId="77777777" w:rsidTr="001D57F5">
        <w:trPr>
          <w:trHeight w:val="240"/>
        </w:trPr>
        <w:tc>
          <w:tcPr>
            <w:tcW w:w="2020" w:type="dxa"/>
            <w:tcBorders>
              <w:top w:val="nil"/>
              <w:left w:val="single" w:sz="4" w:space="0" w:color="auto"/>
              <w:bottom w:val="single" w:sz="4" w:space="0" w:color="auto"/>
              <w:right w:val="single" w:sz="4" w:space="0" w:color="auto"/>
            </w:tcBorders>
            <w:vAlign w:val="bottom"/>
          </w:tcPr>
          <w:p w14:paraId="1A7CA8DB" w14:textId="51A23F30" w:rsidR="00AD749B" w:rsidRPr="00B8456B" w:rsidRDefault="00AD749B" w:rsidP="00AD749B">
            <w:pPr>
              <w:spacing w:after="0" w:line="240" w:lineRule="auto"/>
              <w:rPr>
                <w:rFonts w:eastAsia="Times New Roman" w:cstheme="minorHAnsi"/>
                <w:b/>
                <w:bCs/>
                <w:sz w:val="20"/>
                <w:szCs w:val="20"/>
                <w:lang w:eastAsia="en-CA"/>
              </w:rPr>
            </w:pPr>
          </w:p>
        </w:tc>
        <w:tc>
          <w:tcPr>
            <w:tcW w:w="4980" w:type="dxa"/>
            <w:gridSpan w:val="3"/>
            <w:tcBorders>
              <w:top w:val="nil"/>
              <w:left w:val="single" w:sz="4" w:space="0" w:color="auto"/>
              <w:bottom w:val="single" w:sz="4" w:space="0" w:color="auto"/>
              <w:right w:val="single" w:sz="4" w:space="0" w:color="auto"/>
            </w:tcBorders>
            <w:noWrap/>
            <w:vAlign w:val="bottom"/>
            <w:hideMark/>
          </w:tcPr>
          <w:p w14:paraId="6AA4BD09" w14:textId="5E1D84F5" w:rsidR="00AD749B" w:rsidRPr="00B8456B" w:rsidRDefault="00AD749B" w:rsidP="00FE04FC">
            <w:pPr>
              <w:spacing w:after="0" w:line="240" w:lineRule="auto"/>
              <w:jc w:val="center"/>
              <w:rPr>
                <w:rFonts w:eastAsia="Times New Roman" w:cstheme="minorHAnsi"/>
                <w:sz w:val="20"/>
                <w:szCs w:val="20"/>
                <w:lang w:eastAsia="en-CA"/>
              </w:rPr>
            </w:pPr>
            <w:r w:rsidRPr="00B8456B">
              <w:rPr>
                <w:rFonts w:eastAsia="Times New Roman" w:cstheme="minorHAnsi"/>
                <w:sz w:val="20"/>
                <w:szCs w:val="20"/>
                <w:lang w:eastAsia="en-CA"/>
              </w:rPr>
              <w:t>millions of Canadian dollars</w:t>
            </w:r>
          </w:p>
        </w:tc>
      </w:tr>
      <w:tr w:rsidR="00402A9D" w:rsidRPr="00B8456B" w14:paraId="2A7BFB61"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6D8F5796"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2010</w:t>
            </w:r>
          </w:p>
        </w:tc>
        <w:tc>
          <w:tcPr>
            <w:tcW w:w="2020" w:type="dxa"/>
            <w:tcBorders>
              <w:top w:val="nil"/>
              <w:left w:val="single" w:sz="4" w:space="0" w:color="auto"/>
              <w:bottom w:val="single" w:sz="4" w:space="0" w:color="auto"/>
              <w:right w:val="single" w:sz="4" w:space="0" w:color="auto"/>
            </w:tcBorders>
            <w:noWrap/>
            <w:vAlign w:val="bottom"/>
            <w:hideMark/>
          </w:tcPr>
          <w:p w14:paraId="2F1FF94C"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13,578</w:t>
            </w:r>
          </w:p>
        </w:tc>
        <w:tc>
          <w:tcPr>
            <w:tcW w:w="1480" w:type="dxa"/>
            <w:tcBorders>
              <w:top w:val="nil"/>
              <w:left w:val="nil"/>
              <w:bottom w:val="single" w:sz="4" w:space="0" w:color="auto"/>
              <w:right w:val="single" w:sz="4" w:space="0" w:color="auto"/>
            </w:tcBorders>
            <w:noWrap/>
            <w:vAlign w:val="bottom"/>
            <w:hideMark/>
          </w:tcPr>
          <w:p w14:paraId="78ABB059"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8,319</w:t>
            </w:r>
          </w:p>
        </w:tc>
        <w:tc>
          <w:tcPr>
            <w:tcW w:w="1480" w:type="dxa"/>
            <w:tcBorders>
              <w:top w:val="nil"/>
              <w:left w:val="nil"/>
              <w:bottom w:val="single" w:sz="4" w:space="0" w:color="auto"/>
              <w:right w:val="single" w:sz="4" w:space="0" w:color="auto"/>
            </w:tcBorders>
            <w:noWrap/>
            <w:vAlign w:val="bottom"/>
            <w:hideMark/>
          </w:tcPr>
          <w:p w14:paraId="6D993B11"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5,259</w:t>
            </w:r>
          </w:p>
        </w:tc>
      </w:tr>
      <w:tr w:rsidR="00402A9D" w:rsidRPr="00B8456B" w14:paraId="1EDA94F5"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716789FB"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2011</w:t>
            </w:r>
          </w:p>
        </w:tc>
        <w:tc>
          <w:tcPr>
            <w:tcW w:w="2020" w:type="dxa"/>
            <w:tcBorders>
              <w:top w:val="nil"/>
              <w:left w:val="single" w:sz="4" w:space="0" w:color="auto"/>
              <w:bottom w:val="single" w:sz="4" w:space="0" w:color="auto"/>
              <w:right w:val="single" w:sz="4" w:space="0" w:color="auto"/>
            </w:tcBorders>
            <w:noWrap/>
            <w:vAlign w:val="bottom"/>
            <w:hideMark/>
          </w:tcPr>
          <w:p w14:paraId="2C2568E8"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16,335</w:t>
            </w:r>
          </w:p>
        </w:tc>
        <w:tc>
          <w:tcPr>
            <w:tcW w:w="1480" w:type="dxa"/>
            <w:tcBorders>
              <w:top w:val="nil"/>
              <w:left w:val="nil"/>
              <w:bottom w:val="single" w:sz="4" w:space="0" w:color="auto"/>
              <w:right w:val="single" w:sz="4" w:space="0" w:color="auto"/>
            </w:tcBorders>
            <w:noWrap/>
            <w:vAlign w:val="bottom"/>
            <w:hideMark/>
          </w:tcPr>
          <w:p w14:paraId="32365689"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10,594</w:t>
            </w:r>
          </w:p>
        </w:tc>
        <w:tc>
          <w:tcPr>
            <w:tcW w:w="1480" w:type="dxa"/>
            <w:tcBorders>
              <w:top w:val="nil"/>
              <w:left w:val="nil"/>
              <w:bottom w:val="single" w:sz="4" w:space="0" w:color="auto"/>
              <w:right w:val="single" w:sz="4" w:space="0" w:color="auto"/>
            </w:tcBorders>
            <w:noWrap/>
            <w:vAlign w:val="bottom"/>
            <w:hideMark/>
          </w:tcPr>
          <w:p w14:paraId="69A29FD5"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5,741</w:t>
            </w:r>
          </w:p>
        </w:tc>
      </w:tr>
      <w:tr w:rsidR="00402A9D" w:rsidRPr="00B8456B" w14:paraId="4BAD9EF1"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42914808"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2012</w:t>
            </w:r>
          </w:p>
        </w:tc>
        <w:tc>
          <w:tcPr>
            <w:tcW w:w="2020" w:type="dxa"/>
            <w:tcBorders>
              <w:top w:val="nil"/>
              <w:left w:val="single" w:sz="4" w:space="0" w:color="auto"/>
              <w:bottom w:val="single" w:sz="4" w:space="0" w:color="auto"/>
              <w:right w:val="single" w:sz="4" w:space="0" w:color="auto"/>
            </w:tcBorders>
            <w:noWrap/>
            <w:vAlign w:val="bottom"/>
            <w:hideMark/>
          </w:tcPr>
          <w:p w14:paraId="5A852A41"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11,249</w:t>
            </w:r>
          </w:p>
        </w:tc>
        <w:tc>
          <w:tcPr>
            <w:tcW w:w="1480" w:type="dxa"/>
            <w:tcBorders>
              <w:top w:val="nil"/>
              <w:left w:val="nil"/>
              <w:bottom w:val="single" w:sz="4" w:space="0" w:color="auto"/>
              <w:right w:val="single" w:sz="4" w:space="0" w:color="auto"/>
            </w:tcBorders>
            <w:noWrap/>
            <w:vAlign w:val="bottom"/>
            <w:hideMark/>
          </w:tcPr>
          <w:p w14:paraId="41B2E72A"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8,457</w:t>
            </w:r>
          </w:p>
        </w:tc>
        <w:tc>
          <w:tcPr>
            <w:tcW w:w="1480" w:type="dxa"/>
            <w:tcBorders>
              <w:top w:val="nil"/>
              <w:left w:val="nil"/>
              <w:bottom w:val="single" w:sz="4" w:space="0" w:color="auto"/>
              <w:right w:val="single" w:sz="4" w:space="0" w:color="auto"/>
            </w:tcBorders>
            <w:noWrap/>
            <w:vAlign w:val="bottom"/>
            <w:hideMark/>
          </w:tcPr>
          <w:p w14:paraId="075B1126"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2,792</w:t>
            </w:r>
          </w:p>
        </w:tc>
      </w:tr>
      <w:tr w:rsidR="00402A9D" w:rsidRPr="00B8456B" w14:paraId="64EB6CD9"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5EB76FF8"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2013</w:t>
            </w:r>
          </w:p>
        </w:tc>
        <w:tc>
          <w:tcPr>
            <w:tcW w:w="2020" w:type="dxa"/>
            <w:tcBorders>
              <w:top w:val="nil"/>
              <w:left w:val="single" w:sz="4" w:space="0" w:color="auto"/>
              <w:bottom w:val="single" w:sz="4" w:space="0" w:color="auto"/>
              <w:right w:val="single" w:sz="4" w:space="0" w:color="auto"/>
            </w:tcBorders>
            <w:noWrap/>
            <w:vAlign w:val="bottom"/>
            <w:hideMark/>
          </w:tcPr>
          <w:p w14:paraId="3E4F76ED"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13,698</w:t>
            </w:r>
          </w:p>
        </w:tc>
        <w:tc>
          <w:tcPr>
            <w:tcW w:w="1480" w:type="dxa"/>
            <w:tcBorders>
              <w:top w:val="nil"/>
              <w:left w:val="nil"/>
              <w:bottom w:val="single" w:sz="4" w:space="0" w:color="auto"/>
              <w:right w:val="single" w:sz="4" w:space="0" w:color="auto"/>
            </w:tcBorders>
            <w:noWrap/>
            <w:vAlign w:val="bottom"/>
            <w:hideMark/>
          </w:tcPr>
          <w:p w14:paraId="09924947"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9,732</w:t>
            </w:r>
          </w:p>
        </w:tc>
        <w:tc>
          <w:tcPr>
            <w:tcW w:w="1480" w:type="dxa"/>
            <w:tcBorders>
              <w:top w:val="nil"/>
              <w:left w:val="nil"/>
              <w:bottom w:val="single" w:sz="4" w:space="0" w:color="auto"/>
              <w:right w:val="single" w:sz="4" w:space="0" w:color="auto"/>
            </w:tcBorders>
            <w:noWrap/>
            <w:vAlign w:val="bottom"/>
            <w:hideMark/>
          </w:tcPr>
          <w:p w14:paraId="4C11E0D7"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3,966</w:t>
            </w:r>
          </w:p>
        </w:tc>
      </w:tr>
      <w:tr w:rsidR="00402A9D" w:rsidRPr="00B8456B" w14:paraId="5C546468"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36BBAB62"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2014</w:t>
            </w:r>
          </w:p>
        </w:tc>
        <w:tc>
          <w:tcPr>
            <w:tcW w:w="2020" w:type="dxa"/>
            <w:tcBorders>
              <w:top w:val="nil"/>
              <w:left w:val="single" w:sz="4" w:space="0" w:color="auto"/>
              <w:bottom w:val="single" w:sz="4" w:space="0" w:color="auto"/>
              <w:right w:val="single" w:sz="4" w:space="0" w:color="auto"/>
            </w:tcBorders>
            <w:noWrap/>
            <w:vAlign w:val="bottom"/>
            <w:hideMark/>
          </w:tcPr>
          <w:p w14:paraId="58AA8D51"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12,430</w:t>
            </w:r>
          </w:p>
        </w:tc>
        <w:tc>
          <w:tcPr>
            <w:tcW w:w="1480" w:type="dxa"/>
            <w:tcBorders>
              <w:top w:val="nil"/>
              <w:left w:val="nil"/>
              <w:bottom w:val="single" w:sz="4" w:space="0" w:color="auto"/>
              <w:right w:val="single" w:sz="4" w:space="0" w:color="auto"/>
            </w:tcBorders>
            <w:noWrap/>
            <w:vAlign w:val="bottom"/>
            <w:hideMark/>
          </w:tcPr>
          <w:p w14:paraId="21FC378A"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10,633</w:t>
            </w:r>
          </w:p>
        </w:tc>
        <w:tc>
          <w:tcPr>
            <w:tcW w:w="1480" w:type="dxa"/>
            <w:tcBorders>
              <w:top w:val="nil"/>
              <w:left w:val="nil"/>
              <w:bottom w:val="single" w:sz="4" w:space="0" w:color="auto"/>
              <w:right w:val="single" w:sz="4" w:space="0" w:color="auto"/>
            </w:tcBorders>
            <w:noWrap/>
            <w:vAlign w:val="bottom"/>
            <w:hideMark/>
          </w:tcPr>
          <w:p w14:paraId="63EB7E2D"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1,797</w:t>
            </w:r>
          </w:p>
        </w:tc>
      </w:tr>
      <w:tr w:rsidR="00402A9D" w:rsidRPr="00B8456B" w14:paraId="7A6A18AD"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2C9CBE60"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2015</w:t>
            </w:r>
          </w:p>
        </w:tc>
        <w:tc>
          <w:tcPr>
            <w:tcW w:w="2020" w:type="dxa"/>
            <w:tcBorders>
              <w:top w:val="nil"/>
              <w:left w:val="single" w:sz="4" w:space="0" w:color="auto"/>
              <w:bottom w:val="single" w:sz="4" w:space="0" w:color="auto"/>
              <w:right w:val="single" w:sz="4" w:space="0" w:color="auto"/>
            </w:tcBorders>
            <w:noWrap/>
            <w:vAlign w:val="bottom"/>
            <w:hideMark/>
          </w:tcPr>
          <w:p w14:paraId="1440457D"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4,410</w:t>
            </w:r>
          </w:p>
        </w:tc>
        <w:tc>
          <w:tcPr>
            <w:tcW w:w="1480" w:type="dxa"/>
            <w:tcBorders>
              <w:top w:val="nil"/>
              <w:left w:val="nil"/>
              <w:bottom w:val="single" w:sz="4" w:space="0" w:color="auto"/>
              <w:right w:val="single" w:sz="4" w:space="0" w:color="auto"/>
            </w:tcBorders>
            <w:noWrap/>
            <w:vAlign w:val="bottom"/>
            <w:hideMark/>
          </w:tcPr>
          <w:p w14:paraId="00B6935F"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3,680</w:t>
            </w:r>
          </w:p>
        </w:tc>
        <w:tc>
          <w:tcPr>
            <w:tcW w:w="1480" w:type="dxa"/>
            <w:tcBorders>
              <w:top w:val="nil"/>
              <w:left w:val="nil"/>
              <w:bottom w:val="single" w:sz="4" w:space="0" w:color="auto"/>
              <w:right w:val="single" w:sz="4" w:space="0" w:color="auto"/>
            </w:tcBorders>
            <w:noWrap/>
            <w:vAlign w:val="bottom"/>
            <w:hideMark/>
          </w:tcPr>
          <w:p w14:paraId="77405782"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730</w:t>
            </w:r>
          </w:p>
        </w:tc>
      </w:tr>
      <w:tr w:rsidR="00402A9D" w:rsidRPr="00B8456B" w14:paraId="497A0E6E"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5341935E"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2016</w:t>
            </w:r>
          </w:p>
        </w:tc>
        <w:tc>
          <w:tcPr>
            <w:tcW w:w="2020" w:type="dxa"/>
            <w:tcBorders>
              <w:top w:val="nil"/>
              <w:left w:val="single" w:sz="4" w:space="0" w:color="auto"/>
              <w:bottom w:val="single" w:sz="4" w:space="0" w:color="auto"/>
              <w:right w:val="single" w:sz="4" w:space="0" w:color="auto"/>
            </w:tcBorders>
            <w:noWrap/>
            <w:vAlign w:val="bottom"/>
            <w:hideMark/>
          </w:tcPr>
          <w:p w14:paraId="15BF53FE"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4,895</w:t>
            </w:r>
          </w:p>
        </w:tc>
        <w:tc>
          <w:tcPr>
            <w:tcW w:w="1480" w:type="dxa"/>
            <w:tcBorders>
              <w:top w:val="nil"/>
              <w:left w:val="nil"/>
              <w:bottom w:val="single" w:sz="4" w:space="0" w:color="auto"/>
              <w:right w:val="single" w:sz="4" w:space="0" w:color="auto"/>
            </w:tcBorders>
            <w:noWrap/>
            <w:vAlign w:val="bottom"/>
            <w:hideMark/>
          </w:tcPr>
          <w:p w14:paraId="6805FEC1"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3,207</w:t>
            </w:r>
          </w:p>
        </w:tc>
        <w:tc>
          <w:tcPr>
            <w:tcW w:w="1480" w:type="dxa"/>
            <w:tcBorders>
              <w:top w:val="nil"/>
              <w:left w:val="nil"/>
              <w:bottom w:val="single" w:sz="4" w:space="0" w:color="auto"/>
              <w:right w:val="single" w:sz="4" w:space="0" w:color="auto"/>
            </w:tcBorders>
            <w:noWrap/>
            <w:vAlign w:val="bottom"/>
            <w:hideMark/>
          </w:tcPr>
          <w:p w14:paraId="490B16E4"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1,688</w:t>
            </w:r>
          </w:p>
        </w:tc>
      </w:tr>
      <w:tr w:rsidR="00402A9D" w:rsidRPr="00B8456B" w14:paraId="1F3709A0"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6A88777D"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2017</w:t>
            </w:r>
          </w:p>
        </w:tc>
        <w:tc>
          <w:tcPr>
            <w:tcW w:w="2020" w:type="dxa"/>
            <w:tcBorders>
              <w:top w:val="nil"/>
              <w:left w:val="single" w:sz="4" w:space="0" w:color="auto"/>
              <w:bottom w:val="single" w:sz="4" w:space="0" w:color="auto"/>
              <w:right w:val="single" w:sz="4" w:space="0" w:color="auto"/>
            </w:tcBorders>
            <w:noWrap/>
            <w:vAlign w:val="bottom"/>
            <w:hideMark/>
          </w:tcPr>
          <w:p w14:paraId="105CD4F9"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6,668</w:t>
            </w:r>
          </w:p>
        </w:tc>
        <w:tc>
          <w:tcPr>
            <w:tcW w:w="1480" w:type="dxa"/>
            <w:tcBorders>
              <w:top w:val="nil"/>
              <w:left w:val="nil"/>
              <w:bottom w:val="single" w:sz="4" w:space="0" w:color="auto"/>
              <w:right w:val="single" w:sz="4" w:space="0" w:color="auto"/>
            </w:tcBorders>
            <w:noWrap/>
            <w:vAlign w:val="bottom"/>
            <w:hideMark/>
          </w:tcPr>
          <w:p w14:paraId="546310C6"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4,197</w:t>
            </w:r>
          </w:p>
        </w:tc>
        <w:tc>
          <w:tcPr>
            <w:tcW w:w="1480" w:type="dxa"/>
            <w:tcBorders>
              <w:top w:val="nil"/>
              <w:left w:val="nil"/>
              <w:bottom w:val="single" w:sz="4" w:space="0" w:color="auto"/>
              <w:right w:val="single" w:sz="4" w:space="0" w:color="auto"/>
            </w:tcBorders>
            <w:noWrap/>
            <w:vAlign w:val="bottom"/>
            <w:hideMark/>
          </w:tcPr>
          <w:p w14:paraId="77875E3C"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2,471</w:t>
            </w:r>
          </w:p>
        </w:tc>
      </w:tr>
      <w:tr w:rsidR="00402A9D" w:rsidRPr="00B8456B" w14:paraId="33DD214F"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1D791346"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2018</w:t>
            </w:r>
          </w:p>
        </w:tc>
        <w:tc>
          <w:tcPr>
            <w:tcW w:w="2020" w:type="dxa"/>
            <w:tcBorders>
              <w:top w:val="nil"/>
              <w:left w:val="single" w:sz="4" w:space="0" w:color="auto"/>
              <w:bottom w:val="single" w:sz="4" w:space="0" w:color="auto"/>
              <w:right w:val="single" w:sz="4" w:space="0" w:color="auto"/>
            </w:tcBorders>
            <w:noWrap/>
            <w:vAlign w:val="bottom"/>
            <w:hideMark/>
          </w:tcPr>
          <w:p w14:paraId="48E5173B"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7,234</w:t>
            </w:r>
          </w:p>
        </w:tc>
        <w:tc>
          <w:tcPr>
            <w:tcW w:w="1480" w:type="dxa"/>
            <w:tcBorders>
              <w:top w:val="nil"/>
              <w:left w:val="nil"/>
              <w:bottom w:val="single" w:sz="4" w:space="0" w:color="auto"/>
              <w:right w:val="single" w:sz="4" w:space="0" w:color="auto"/>
            </w:tcBorders>
            <w:noWrap/>
            <w:vAlign w:val="bottom"/>
            <w:hideMark/>
          </w:tcPr>
          <w:p w14:paraId="17B9121F"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12,154</w:t>
            </w:r>
          </w:p>
        </w:tc>
        <w:tc>
          <w:tcPr>
            <w:tcW w:w="1480" w:type="dxa"/>
            <w:tcBorders>
              <w:top w:val="nil"/>
              <w:left w:val="nil"/>
              <w:bottom w:val="single" w:sz="4" w:space="0" w:color="auto"/>
              <w:right w:val="single" w:sz="4" w:space="0" w:color="auto"/>
            </w:tcBorders>
            <w:noWrap/>
            <w:vAlign w:val="bottom"/>
            <w:hideMark/>
          </w:tcPr>
          <w:p w14:paraId="31F8E104"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-4,920</w:t>
            </w:r>
          </w:p>
        </w:tc>
      </w:tr>
      <w:tr w:rsidR="00402A9D" w:rsidRPr="00B8456B" w14:paraId="1EAE7927"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455398C8"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2019</w:t>
            </w:r>
          </w:p>
        </w:tc>
        <w:tc>
          <w:tcPr>
            <w:tcW w:w="2020" w:type="dxa"/>
            <w:tcBorders>
              <w:top w:val="nil"/>
              <w:left w:val="single" w:sz="4" w:space="0" w:color="auto"/>
              <w:bottom w:val="single" w:sz="4" w:space="0" w:color="auto"/>
              <w:right w:val="single" w:sz="4" w:space="0" w:color="auto"/>
            </w:tcBorders>
            <w:noWrap/>
            <w:vAlign w:val="bottom"/>
            <w:hideMark/>
          </w:tcPr>
          <w:p w14:paraId="33191CA1"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7,372</w:t>
            </w:r>
          </w:p>
        </w:tc>
        <w:tc>
          <w:tcPr>
            <w:tcW w:w="1480" w:type="dxa"/>
            <w:tcBorders>
              <w:top w:val="nil"/>
              <w:left w:val="nil"/>
              <w:bottom w:val="single" w:sz="4" w:space="0" w:color="auto"/>
              <w:right w:val="single" w:sz="4" w:space="0" w:color="auto"/>
            </w:tcBorders>
            <w:noWrap/>
            <w:vAlign w:val="bottom"/>
            <w:hideMark/>
          </w:tcPr>
          <w:p w14:paraId="656C1C82"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4,565</w:t>
            </w:r>
          </w:p>
        </w:tc>
        <w:tc>
          <w:tcPr>
            <w:tcW w:w="1480" w:type="dxa"/>
            <w:tcBorders>
              <w:top w:val="nil"/>
              <w:left w:val="nil"/>
              <w:bottom w:val="single" w:sz="4" w:space="0" w:color="auto"/>
              <w:right w:val="single" w:sz="4" w:space="0" w:color="auto"/>
            </w:tcBorders>
            <w:noWrap/>
            <w:vAlign w:val="bottom"/>
            <w:hideMark/>
          </w:tcPr>
          <w:p w14:paraId="7F8EA720"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2,807</w:t>
            </w:r>
          </w:p>
        </w:tc>
      </w:tr>
      <w:tr w:rsidR="00402A9D" w:rsidRPr="00B8456B" w14:paraId="4DDF701B" w14:textId="77777777" w:rsidTr="00FE04FC">
        <w:trPr>
          <w:trHeight w:val="240"/>
        </w:trPr>
        <w:tc>
          <w:tcPr>
            <w:tcW w:w="2020" w:type="dxa"/>
            <w:tcBorders>
              <w:top w:val="nil"/>
              <w:left w:val="single" w:sz="4" w:space="0" w:color="auto"/>
              <w:bottom w:val="single" w:sz="4" w:space="0" w:color="auto"/>
              <w:right w:val="single" w:sz="4" w:space="0" w:color="auto"/>
            </w:tcBorders>
            <w:vAlign w:val="bottom"/>
          </w:tcPr>
          <w:p w14:paraId="266A90D5" w14:textId="77777777" w:rsidR="00402A9D" w:rsidRPr="00B8456B" w:rsidRDefault="00402A9D" w:rsidP="00AD749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2020</w:t>
            </w:r>
          </w:p>
        </w:tc>
        <w:tc>
          <w:tcPr>
            <w:tcW w:w="2020" w:type="dxa"/>
            <w:tcBorders>
              <w:top w:val="nil"/>
              <w:left w:val="single" w:sz="4" w:space="0" w:color="auto"/>
              <w:bottom w:val="single" w:sz="4" w:space="0" w:color="auto"/>
              <w:right w:val="single" w:sz="4" w:space="0" w:color="auto"/>
            </w:tcBorders>
            <w:noWrap/>
            <w:vAlign w:val="bottom"/>
            <w:hideMark/>
          </w:tcPr>
          <w:p w14:paraId="6142EFAD"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4,118</w:t>
            </w:r>
          </w:p>
        </w:tc>
        <w:tc>
          <w:tcPr>
            <w:tcW w:w="1480" w:type="dxa"/>
            <w:tcBorders>
              <w:top w:val="nil"/>
              <w:left w:val="nil"/>
              <w:bottom w:val="single" w:sz="4" w:space="0" w:color="auto"/>
              <w:right w:val="single" w:sz="4" w:space="0" w:color="auto"/>
            </w:tcBorders>
            <w:noWrap/>
            <w:vAlign w:val="bottom"/>
            <w:hideMark/>
          </w:tcPr>
          <w:p w14:paraId="5FF1B7CE"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3,910</w:t>
            </w:r>
          </w:p>
        </w:tc>
        <w:tc>
          <w:tcPr>
            <w:tcW w:w="1480" w:type="dxa"/>
            <w:tcBorders>
              <w:top w:val="nil"/>
              <w:left w:val="nil"/>
              <w:bottom w:val="single" w:sz="4" w:space="0" w:color="auto"/>
              <w:right w:val="single" w:sz="4" w:space="0" w:color="auto"/>
            </w:tcBorders>
            <w:noWrap/>
            <w:vAlign w:val="bottom"/>
            <w:hideMark/>
          </w:tcPr>
          <w:p w14:paraId="5725529F" w14:textId="77777777" w:rsidR="00402A9D" w:rsidRPr="00B8456B" w:rsidRDefault="00402A9D" w:rsidP="00AD749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208</w:t>
            </w:r>
          </w:p>
        </w:tc>
      </w:tr>
    </w:tbl>
    <w:p w14:paraId="0FDCAD8E" w14:textId="5C14965F" w:rsidR="00402A9D" w:rsidRPr="008370DE" w:rsidRDefault="00402A9D" w:rsidP="00402A9D">
      <w:pPr>
        <w:rPr>
          <w:b/>
          <w:bCs/>
          <w:sz w:val="20"/>
          <w:szCs w:val="20"/>
        </w:rPr>
      </w:pPr>
      <w:r w:rsidRPr="008370DE">
        <w:rPr>
          <w:b/>
          <w:bCs/>
          <w:sz w:val="20"/>
          <w:szCs w:val="20"/>
        </w:rPr>
        <w:t>Source:</w:t>
      </w:r>
      <w:r w:rsidRPr="008370DE">
        <w:rPr>
          <w:sz w:val="20"/>
          <w:szCs w:val="20"/>
        </w:rPr>
        <w:t xml:space="preserve"> </w:t>
      </w:r>
      <w:r w:rsidR="00E778AA" w:rsidRPr="008370DE">
        <w:rPr>
          <w:sz w:val="20"/>
          <w:szCs w:val="20"/>
        </w:rPr>
        <w:t>Statistics Canada</w:t>
      </w:r>
      <w:r w:rsidR="0088074E" w:rsidRPr="008370DE">
        <w:rPr>
          <w:sz w:val="20"/>
          <w:szCs w:val="20"/>
        </w:rPr>
        <w:t xml:space="preserve">. </w:t>
      </w:r>
      <w:hyperlink r:id="rId13" w:history="1">
        <w:r w:rsidR="0088074E" w:rsidRPr="008370DE">
          <w:rPr>
            <w:rStyle w:val="Hyperlink"/>
            <w:sz w:val="20"/>
            <w:szCs w:val="20"/>
          </w:rPr>
          <w:t>Table 10-10-0017-01 Canadian government finance statistics for the provincial and territorial governments</w:t>
        </w:r>
      </w:hyperlink>
      <w:r w:rsidR="0088074E" w:rsidRPr="008370DE">
        <w:rPr>
          <w:sz w:val="20"/>
          <w:szCs w:val="20"/>
        </w:rPr>
        <w:t>;</w:t>
      </w:r>
      <w:r w:rsidR="00E778AA" w:rsidRPr="008370DE">
        <w:rPr>
          <w:sz w:val="20"/>
          <w:szCs w:val="20"/>
        </w:rPr>
        <w:t xml:space="preserve"> </w:t>
      </w:r>
      <w:r w:rsidR="007C7849" w:rsidRPr="008370DE">
        <w:rPr>
          <w:sz w:val="20"/>
          <w:szCs w:val="20"/>
        </w:rPr>
        <w:t>Canadian Association of Petroleum Producers (</w:t>
      </w:r>
      <w:r w:rsidR="00E778AA" w:rsidRPr="008370DE">
        <w:rPr>
          <w:sz w:val="20"/>
          <w:szCs w:val="20"/>
        </w:rPr>
        <w:t>CAPP</w:t>
      </w:r>
      <w:r w:rsidR="007C7849" w:rsidRPr="008370DE">
        <w:rPr>
          <w:sz w:val="20"/>
          <w:szCs w:val="20"/>
        </w:rPr>
        <w:t>) Table</w:t>
      </w:r>
      <w:r w:rsidR="00E778AA" w:rsidRPr="008370DE">
        <w:rPr>
          <w:sz w:val="20"/>
          <w:szCs w:val="20"/>
        </w:rPr>
        <w:t xml:space="preserve"> 04-01 Net Cash Expenditures by Province</w:t>
      </w:r>
      <w:r w:rsidR="007C7849" w:rsidRPr="008370DE">
        <w:rPr>
          <w:sz w:val="20"/>
          <w:szCs w:val="20"/>
        </w:rPr>
        <w:t>, accessed</w:t>
      </w:r>
      <w:r w:rsidR="00C35457" w:rsidRPr="008370DE">
        <w:rPr>
          <w:sz w:val="20"/>
          <w:szCs w:val="20"/>
        </w:rPr>
        <w:t xml:space="preserve"> December 12, 2025</w:t>
      </w:r>
      <w:r w:rsidR="00E778AA" w:rsidRPr="008370DE">
        <w:rPr>
          <w:sz w:val="20"/>
          <w:szCs w:val="20"/>
        </w:rPr>
        <w:t>.</w:t>
      </w:r>
    </w:p>
    <w:p w14:paraId="54C5870E" w14:textId="77777777" w:rsidR="00B8456B" w:rsidRDefault="00DA2943" w:rsidP="00B8456B">
      <w:pPr>
        <w:spacing w:after="0" w:line="240" w:lineRule="auto"/>
        <w:rPr>
          <w:b/>
          <w:bCs/>
          <w:sz w:val="20"/>
          <w:szCs w:val="20"/>
        </w:rPr>
      </w:pPr>
      <w:r>
        <w:rPr>
          <w:b/>
          <w:bCs/>
          <w:sz w:val="20"/>
          <w:szCs w:val="20"/>
        </w:rPr>
        <w:t>Table 4</w:t>
      </w:r>
    </w:p>
    <w:p w14:paraId="4E44C903" w14:textId="541F6DD6" w:rsidR="00DA2943" w:rsidRDefault="00DA2943" w:rsidP="00B8456B">
      <w:pPr>
        <w:spacing w:after="0" w:line="240" w:lineRule="auto"/>
        <w:rPr>
          <w:b/>
          <w:bCs/>
          <w:sz w:val="20"/>
          <w:szCs w:val="20"/>
        </w:rPr>
      </w:pPr>
      <w:r>
        <w:rPr>
          <w:b/>
          <w:bCs/>
          <w:sz w:val="20"/>
          <w:szCs w:val="20"/>
        </w:rPr>
        <w:t>Percent share of ownership (royalty</w:t>
      </w:r>
      <w:r w:rsidR="00967588">
        <w:rPr>
          <w:b/>
          <w:bCs/>
          <w:sz w:val="20"/>
          <w:szCs w:val="20"/>
        </w:rPr>
        <w:t xml:space="preserve"> rates</w:t>
      </w:r>
      <w:r>
        <w:rPr>
          <w:b/>
          <w:bCs/>
          <w:sz w:val="20"/>
          <w:szCs w:val="20"/>
        </w:rPr>
        <w:t>)</w:t>
      </w:r>
      <w:r w:rsidR="00C35457">
        <w:rPr>
          <w:b/>
          <w:bCs/>
          <w:sz w:val="20"/>
          <w:szCs w:val="20"/>
        </w:rPr>
        <w:t>,</w:t>
      </w:r>
      <w:r w:rsidR="00636ACB">
        <w:rPr>
          <w:b/>
          <w:bCs/>
          <w:sz w:val="20"/>
          <w:szCs w:val="20"/>
        </w:rPr>
        <w:t xml:space="preserve"> </w:t>
      </w:r>
      <w:r w:rsidR="00A114CD">
        <w:rPr>
          <w:b/>
          <w:bCs/>
          <w:sz w:val="20"/>
          <w:szCs w:val="20"/>
        </w:rPr>
        <w:t xml:space="preserve">by economic owners, using StatCan data, </w:t>
      </w:r>
      <w:r w:rsidR="00C35457">
        <w:rPr>
          <w:b/>
          <w:bCs/>
          <w:sz w:val="20"/>
          <w:szCs w:val="20"/>
        </w:rPr>
        <w:t>2010 to 2020</w:t>
      </w:r>
    </w:p>
    <w:tbl>
      <w:tblPr>
        <w:tblW w:w="6180" w:type="dxa"/>
        <w:tblLook w:val="04A0" w:firstRow="1" w:lastRow="0" w:firstColumn="1" w:lastColumn="0" w:noHBand="0" w:noVBand="1"/>
      </w:tblPr>
      <w:tblGrid>
        <w:gridCol w:w="1480"/>
        <w:gridCol w:w="1313"/>
        <w:gridCol w:w="1955"/>
        <w:gridCol w:w="1715"/>
      </w:tblGrid>
      <w:tr w:rsidR="00B73B61" w:rsidRPr="00B8456B" w14:paraId="3F3B7455" w14:textId="77777777" w:rsidTr="00B73B61">
        <w:trPr>
          <w:trHeight w:val="660"/>
        </w:trPr>
        <w:tc>
          <w:tcPr>
            <w:tcW w:w="1480" w:type="dxa"/>
            <w:tcBorders>
              <w:top w:val="single" w:sz="4" w:space="0" w:color="auto"/>
              <w:left w:val="single" w:sz="4" w:space="0" w:color="auto"/>
              <w:bottom w:val="single" w:sz="4" w:space="0" w:color="auto"/>
              <w:right w:val="single" w:sz="4" w:space="0" w:color="auto"/>
            </w:tcBorders>
            <w:noWrap/>
            <w:vAlign w:val="bottom"/>
            <w:hideMark/>
          </w:tcPr>
          <w:p w14:paraId="49BA1EBC" w14:textId="77777777" w:rsidR="00B73B61" w:rsidRPr="00B8456B" w:rsidRDefault="00B73B61" w:rsidP="00B73B61">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 </w:t>
            </w:r>
          </w:p>
        </w:tc>
        <w:tc>
          <w:tcPr>
            <w:tcW w:w="4700" w:type="dxa"/>
            <w:gridSpan w:val="3"/>
            <w:tcBorders>
              <w:top w:val="single" w:sz="4" w:space="0" w:color="auto"/>
              <w:left w:val="nil"/>
              <w:bottom w:val="single" w:sz="4" w:space="0" w:color="auto"/>
              <w:right w:val="single" w:sz="4" w:space="0" w:color="000000"/>
            </w:tcBorders>
            <w:vAlign w:val="center"/>
            <w:hideMark/>
          </w:tcPr>
          <w:p w14:paraId="0439FA14" w14:textId="66680237" w:rsidR="00B73B61" w:rsidRPr="00B8456B" w:rsidRDefault="00B73B61" w:rsidP="00B8456B">
            <w:pPr>
              <w:spacing w:after="0" w:line="240" w:lineRule="auto"/>
              <w:jc w:val="center"/>
              <w:rPr>
                <w:rFonts w:eastAsia="Times New Roman" w:cstheme="minorHAnsi"/>
                <w:b/>
                <w:bCs/>
                <w:sz w:val="20"/>
                <w:szCs w:val="20"/>
                <w:lang w:eastAsia="en-CA"/>
              </w:rPr>
            </w:pPr>
            <w:r w:rsidRPr="00B8456B">
              <w:rPr>
                <w:rFonts w:eastAsia="Times New Roman" w:cstheme="minorHAnsi"/>
                <w:b/>
                <w:bCs/>
                <w:sz w:val="20"/>
                <w:szCs w:val="20"/>
                <w:lang w:eastAsia="en-CA"/>
              </w:rPr>
              <w:t xml:space="preserve">Royalty </w:t>
            </w:r>
            <w:r w:rsidR="00176FC5">
              <w:rPr>
                <w:rFonts w:eastAsia="Times New Roman" w:cstheme="minorHAnsi"/>
                <w:b/>
                <w:bCs/>
                <w:sz w:val="20"/>
                <w:szCs w:val="20"/>
                <w:lang w:eastAsia="en-CA"/>
              </w:rPr>
              <w:t>r</w:t>
            </w:r>
            <w:r w:rsidRPr="00B8456B">
              <w:rPr>
                <w:rFonts w:eastAsia="Times New Roman" w:cstheme="minorHAnsi"/>
                <w:b/>
                <w:bCs/>
                <w:sz w:val="20"/>
                <w:szCs w:val="20"/>
                <w:lang w:eastAsia="en-CA"/>
              </w:rPr>
              <w:t>ate</w:t>
            </w:r>
          </w:p>
        </w:tc>
      </w:tr>
      <w:tr w:rsidR="00B73B61" w:rsidRPr="00B8456B" w14:paraId="249A2465"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66EABB04" w14:textId="3D7557AC" w:rsidR="00B73B61" w:rsidRPr="00B8456B" w:rsidRDefault="00B73B61" w:rsidP="00B73B61">
            <w:pPr>
              <w:spacing w:after="0" w:line="240" w:lineRule="auto"/>
              <w:rPr>
                <w:rFonts w:eastAsia="Times New Roman" w:cstheme="minorHAnsi"/>
                <w:b/>
                <w:bCs/>
                <w:sz w:val="20"/>
                <w:szCs w:val="20"/>
                <w:lang w:eastAsia="en-CA"/>
              </w:rPr>
            </w:pPr>
            <w:r w:rsidRPr="00B8456B">
              <w:rPr>
                <w:rFonts w:eastAsia="Times New Roman" w:cstheme="minorHAnsi"/>
                <w:b/>
                <w:bCs/>
                <w:sz w:val="20"/>
                <w:szCs w:val="20"/>
                <w:lang w:eastAsia="en-CA"/>
              </w:rPr>
              <w:t> </w:t>
            </w:r>
            <w:r w:rsidR="00B8456B" w:rsidRPr="00B8456B">
              <w:rPr>
                <w:rFonts w:eastAsia="Times New Roman" w:cstheme="minorHAnsi"/>
                <w:b/>
                <w:bCs/>
                <w:sz w:val="20"/>
                <w:szCs w:val="20"/>
                <w:lang w:eastAsia="en-CA"/>
              </w:rPr>
              <w:t>Year</w:t>
            </w:r>
          </w:p>
        </w:tc>
        <w:tc>
          <w:tcPr>
            <w:tcW w:w="1313" w:type="dxa"/>
            <w:tcBorders>
              <w:top w:val="nil"/>
              <w:left w:val="nil"/>
              <w:bottom w:val="single" w:sz="4" w:space="0" w:color="auto"/>
              <w:right w:val="single" w:sz="4" w:space="0" w:color="auto"/>
            </w:tcBorders>
            <w:noWrap/>
            <w:vAlign w:val="bottom"/>
            <w:hideMark/>
          </w:tcPr>
          <w:p w14:paraId="561575FF" w14:textId="77777777" w:rsidR="00B73B61" w:rsidRPr="00B8456B" w:rsidRDefault="00B73B61" w:rsidP="00B8456B">
            <w:pPr>
              <w:spacing w:after="0" w:line="240" w:lineRule="auto"/>
              <w:jc w:val="right"/>
              <w:rPr>
                <w:rFonts w:eastAsia="Times New Roman" w:cstheme="minorHAnsi"/>
                <w:b/>
                <w:bCs/>
                <w:sz w:val="20"/>
                <w:szCs w:val="20"/>
                <w:lang w:eastAsia="en-CA"/>
              </w:rPr>
            </w:pPr>
            <w:r w:rsidRPr="00B8456B">
              <w:rPr>
                <w:rFonts w:eastAsia="Times New Roman" w:cstheme="minorHAnsi"/>
                <w:b/>
                <w:bCs/>
                <w:sz w:val="20"/>
                <w:szCs w:val="20"/>
                <w:lang w:eastAsia="en-CA"/>
              </w:rPr>
              <w:t>Federal</w:t>
            </w:r>
          </w:p>
        </w:tc>
        <w:tc>
          <w:tcPr>
            <w:tcW w:w="1672" w:type="dxa"/>
            <w:tcBorders>
              <w:top w:val="nil"/>
              <w:left w:val="nil"/>
              <w:bottom w:val="single" w:sz="4" w:space="0" w:color="auto"/>
              <w:right w:val="single" w:sz="4" w:space="0" w:color="auto"/>
            </w:tcBorders>
            <w:noWrap/>
            <w:vAlign w:val="bottom"/>
            <w:hideMark/>
          </w:tcPr>
          <w:p w14:paraId="105CA6E9" w14:textId="23D0E044" w:rsidR="00B73B61" w:rsidRPr="00B8456B" w:rsidRDefault="001A13B9" w:rsidP="00B8456B">
            <w:pPr>
              <w:spacing w:after="0" w:line="240" w:lineRule="auto"/>
              <w:jc w:val="right"/>
              <w:rPr>
                <w:rFonts w:eastAsia="Times New Roman" w:cstheme="minorHAnsi"/>
                <w:b/>
                <w:bCs/>
                <w:sz w:val="20"/>
                <w:szCs w:val="20"/>
                <w:lang w:eastAsia="en-CA"/>
              </w:rPr>
            </w:pPr>
            <w:r w:rsidRPr="006357BC">
              <w:rPr>
                <w:rFonts w:eastAsia="Times New Roman" w:cstheme="minorHAnsi"/>
                <w:b/>
                <w:bCs/>
                <w:color w:val="000000"/>
                <w:sz w:val="20"/>
                <w:szCs w:val="20"/>
                <w:lang w:eastAsia="en-CA"/>
              </w:rPr>
              <w:t>Provincial/Territorial</w:t>
            </w:r>
          </w:p>
        </w:tc>
        <w:tc>
          <w:tcPr>
            <w:tcW w:w="1715" w:type="dxa"/>
            <w:tcBorders>
              <w:top w:val="nil"/>
              <w:left w:val="nil"/>
              <w:bottom w:val="single" w:sz="4" w:space="0" w:color="auto"/>
              <w:right w:val="single" w:sz="4" w:space="0" w:color="auto"/>
            </w:tcBorders>
            <w:noWrap/>
            <w:vAlign w:val="bottom"/>
            <w:hideMark/>
          </w:tcPr>
          <w:p w14:paraId="4D7BE201" w14:textId="6320D819" w:rsidR="00B73B61" w:rsidRPr="00B8456B" w:rsidRDefault="00B73B61" w:rsidP="00B8456B">
            <w:pPr>
              <w:spacing w:after="0" w:line="240" w:lineRule="auto"/>
              <w:jc w:val="right"/>
              <w:rPr>
                <w:rFonts w:eastAsia="Times New Roman" w:cstheme="minorHAnsi"/>
                <w:b/>
                <w:bCs/>
                <w:sz w:val="20"/>
                <w:szCs w:val="20"/>
                <w:lang w:eastAsia="en-CA"/>
              </w:rPr>
            </w:pPr>
            <w:r w:rsidRPr="00B8456B">
              <w:rPr>
                <w:rFonts w:eastAsia="Times New Roman" w:cstheme="minorHAnsi"/>
                <w:b/>
                <w:bCs/>
                <w:sz w:val="20"/>
                <w:szCs w:val="20"/>
                <w:lang w:eastAsia="en-CA"/>
              </w:rPr>
              <w:t>Corporat</w:t>
            </w:r>
            <w:r w:rsidR="00D94E46">
              <w:rPr>
                <w:rFonts w:eastAsia="Times New Roman" w:cstheme="minorHAnsi"/>
                <w:b/>
                <w:bCs/>
                <w:sz w:val="20"/>
                <w:szCs w:val="20"/>
                <w:lang w:eastAsia="en-CA"/>
              </w:rPr>
              <w:t>ion</w:t>
            </w:r>
          </w:p>
        </w:tc>
      </w:tr>
      <w:tr w:rsidR="00B8456B" w:rsidRPr="00B8456B" w14:paraId="1D11BB47" w14:textId="77777777" w:rsidTr="00E549B4">
        <w:trPr>
          <w:trHeight w:val="240"/>
        </w:trPr>
        <w:tc>
          <w:tcPr>
            <w:tcW w:w="1480" w:type="dxa"/>
            <w:tcBorders>
              <w:top w:val="nil"/>
              <w:left w:val="single" w:sz="4" w:space="0" w:color="auto"/>
              <w:bottom w:val="single" w:sz="4" w:space="0" w:color="auto"/>
              <w:right w:val="single" w:sz="4" w:space="0" w:color="auto"/>
            </w:tcBorders>
            <w:noWrap/>
            <w:vAlign w:val="bottom"/>
          </w:tcPr>
          <w:p w14:paraId="3A36E79F" w14:textId="77777777" w:rsidR="00B8456B" w:rsidRPr="00B8456B" w:rsidRDefault="00B8456B" w:rsidP="00B73B61">
            <w:pPr>
              <w:spacing w:after="0" w:line="240" w:lineRule="auto"/>
              <w:rPr>
                <w:rFonts w:eastAsia="Times New Roman" w:cstheme="minorHAnsi"/>
                <w:sz w:val="20"/>
                <w:szCs w:val="20"/>
                <w:lang w:eastAsia="en-CA"/>
              </w:rPr>
            </w:pPr>
          </w:p>
        </w:tc>
        <w:tc>
          <w:tcPr>
            <w:tcW w:w="4700" w:type="dxa"/>
            <w:gridSpan w:val="3"/>
            <w:tcBorders>
              <w:top w:val="nil"/>
              <w:left w:val="nil"/>
              <w:bottom w:val="single" w:sz="4" w:space="0" w:color="auto"/>
              <w:right w:val="single" w:sz="4" w:space="0" w:color="auto"/>
            </w:tcBorders>
            <w:noWrap/>
            <w:vAlign w:val="bottom"/>
          </w:tcPr>
          <w:p w14:paraId="168F9347" w14:textId="15EEF73A" w:rsidR="00B8456B" w:rsidRPr="00B8456B" w:rsidRDefault="00B8456B" w:rsidP="00C32D45">
            <w:pPr>
              <w:spacing w:after="0" w:line="240" w:lineRule="auto"/>
              <w:jc w:val="center"/>
              <w:rPr>
                <w:rFonts w:eastAsia="Times New Roman" w:cstheme="minorHAnsi"/>
                <w:sz w:val="20"/>
                <w:szCs w:val="20"/>
                <w:lang w:eastAsia="en-CA"/>
              </w:rPr>
            </w:pPr>
            <w:r w:rsidRPr="00B8456B">
              <w:rPr>
                <w:rFonts w:eastAsia="Times New Roman" w:cstheme="minorHAnsi"/>
                <w:sz w:val="20"/>
                <w:szCs w:val="20"/>
                <w:lang w:eastAsia="en-CA"/>
              </w:rPr>
              <w:t>percent</w:t>
            </w:r>
          </w:p>
        </w:tc>
      </w:tr>
      <w:tr w:rsidR="00B73B61" w:rsidRPr="00B8456B" w14:paraId="64EFF26B"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4872FCF9"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2010</w:t>
            </w:r>
          </w:p>
        </w:tc>
        <w:tc>
          <w:tcPr>
            <w:tcW w:w="1313" w:type="dxa"/>
            <w:tcBorders>
              <w:top w:val="nil"/>
              <w:left w:val="nil"/>
              <w:bottom w:val="single" w:sz="4" w:space="0" w:color="auto"/>
              <w:right w:val="single" w:sz="4" w:space="0" w:color="auto"/>
            </w:tcBorders>
            <w:noWrap/>
            <w:vAlign w:val="bottom"/>
            <w:hideMark/>
          </w:tcPr>
          <w:p w14:paraId="7E5FC4D4"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8%</w:t>
            </w:r>
          </w:p>
        </w:tc>
        <w:tc>
          <w:tcPr>
            <w:tcW w:w="1672" w:type="dxa"/>
            <w:tcBorders>
              <w:top w:val="nil"/>
              <w:left w:val="nil"/>
              <w:bottom w:val="single" w:sz="4" w:space="0" w:color="auto"/>
              <w:right w:val="single" w:sz="4" w:space="0" w:color="auto"/>
            </w:tcBorders>
            <w:noWrap/>
            <w:vAlign w:val="bottom"/>
            <w:hideMark/>
          </w:tcPr>
          <w:p w14:paraId="3B0EFA31"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83%</w:t>
            </w:r>
          </w:p>
        </w:tc>
        <w:tc>
          <w:tcPr>
            <w:tcW w:w="1715" w:type="dxa"/>
            <w:tcBorders>
              <w:top w:val="nil"/>
              <w:left w:val="nil"/>
              <w:bottom w:val="single" w:sz="4" w:space="0" w:color="auto"/>
              <w:right w:val="single" w:sz="4" w:space="0" w:color="auto"/>
            </w:tcBorders>
            <w:noWrap/>
            <w:vAlign w:val="bottom"/>
            <w:hideMark/>
          </w:tcPr>
          <w:p w14:paraId="48A10956"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9%</w:t>
            </w:r>
          </w:p>
        </w:tc>
      </w:tr>
      <w:tr w:rsidR="00B73B61" w:rsidRPr="00B8456B" w14:paraId="34DEAF00"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6433EC54"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2011</w:t>
            </w:r>
          </w:p>
        </w:tc>
        <w:tc>
          <w:tcPr>
            <w:tcW w:w="1313" w:type="dxa"/>
            <w:tcBorders>
              <w:top w:val="nil"/>
              <w:left w:val="nil"/>
              <w:bottom w:val="single" w:sz="4" w:space="0" w:color="auto"/>
              <w:right w:val="single" w:sz="4" w:space="0" w:color="auto"/>
            </w:tcBorders>
            <w:noWrap/>
            <w:vAlign w:val="bottom"/>
            <w:hideMark/>
          </w:tcPr>
          <w:p w14:paraId="36FE3D37"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5%</w:t>
            </w:r>
          </w:p>
        </w:tc>
        <w:tc>
          <w:tcPr>
            <w:tcW w:w="1672" w:type="dxa"/>
            <w:tcBorders>
              <w:top w:val="nil"/>
              <w:left w:val="nil"/>
              <w:bottom w:val="single" w:sz="4" w:space="0" w:color="auto"/>
              <w:right w:val="single" w:sz="4" w:space="0" w:color="auto"/>
            </w:tcBorders>
            <w:noWrap/>
            <w:vAlign w:val="bottom"/>
            <w:hideMark/>
          </w:tcPr>
          <w:p w14:paraId="527F33A2"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64%</w:t>
            </w:r>
          </w:p>
        </w:tc>
        <w:tc>
          <w:tcPr>
            <w:tcW w:w="1715" w:type="dxa"/>
            <w:tcBorders>
              <w:top w:val="nil"/>
              <w:left w:val="nil"/>
              <w:bottom w:val="single" w:sz="4" w:space="0" w:color="auto"/>
              <w:right w:val="single" w:sz="4" w:space="0" w:color="auto"/>
            </w:tcBorders>
            <w:noWrap/>
            <w:vAlign w:val="bottom"/>
            <w:hideMark/>
          </w:tcPr>
          <w:p w14:paraId="74ECA0B8"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31%</w:t>
            </w:r>
          </w:p>
        </w:tc>
      </w:tr>
      <w:tr w:rsidR="00B73B61" w:rsidRPr="00B8456B" w14:paraId="5A3B4189"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5DEC6C17"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2012</w:t>
            </w:r>
          </w:p>
        </w:tc>
        <w:tc>
          <w:tcPr>
            <w:tcW w:w="1313" w:type="dxa"/>
            <w:tcBorders>
              <w:top w:val="nil"/>
              <w:left w:val="nil"/>
              <w:bottom w:val="single" w:sz="4" w:space="0" w:color="auto"/>
              <w:right w:val="single" w:sz="4" w:space="0" w:color="auto"/>
            </w:tcBorders>
            <w:noWrap/>
            <w:vAlign w:val="bottom"/>
            <w:hideMark/>
          </w:tcPr>
          <w:p w14:paraId="51FB8712"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5%</w:t>
            </w:r>
          </w:p>
        </w:tc>
        <w:tc>
          <w:tcPr>
            <w:tcW w:w="1672" w:type="dxa"/>
            <w:tcBorders>
              <w:top w:val="nil"/>
              <w:left w:val="nil"/>
              <w:bottom w:val="single" w:sz="4" w:space="0" w:color="auto"/>
              <w:right w:val="single" w:sz="4" w:space="0" w:color="auto"/>
            </w:tcBorders>
            <w:noWrap/>
            <w:vAlign w:val="bottom"/>
            <w:hideMark/>
          </w:tcPr>
          <w:p w14:paraId="397999C7"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87%</w:t>
            </w:r>
          </w:p>
        </w:tc>
        <w:tc>
          <w:tcPr>
            <w:tcW w:w="1715" w:type="dxa"/>
            <w:tcBorders>
              <w:top w:val="nil"/>
              <w:left w:val="nil"/>
              <w:bottom w:val="single" w:sz="4" w:space="0" w:color="auto"/>
              <w:right w:val="single" w:sz="4" w:space="0" w:color="auto"/>
            </w:tcBorders>
            <w:noWrap/>
            <w:vAlign w:val="bottom"/>
            <w:hideMark/>
          </w:tcPr>
          <w:p w14:paraId="090D31C6"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7%</w:t>
            </w:r>
          </w:p>
        </w:tc>
      </w:tr>
      <w:tr w:rsidR="00B73B61" w:rsidRPr="00B8456B" w14:paraId="32163084"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2E4DFEFC"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2013</w:t>
            </w:r>
          </w:p>
        </w:tc>
        <w:tc>
          <w:tcPr>
            <w:tcW w:w="1313" w:type="dxa"/>
            <w:tcBorders>
              <w:top w:val="nil"/>
              <w:left w:val="nil"/>
              <w:bottom w:val="single" w:sz="4" w:space="0" w:color="auto"/>
              <w:right w:val="single" w:sz="4" w:space="0" w:color="auto"/>
            </w:tcBorders>
            <w:noWrap/>
            <w:vAlign w:val="bottom"/>
            <w:hideMark/>
          </w:tcPr>
          <w:p w14:paraId="013BD7B4"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6%</w:t>
            </w:r>
          </w:p>
        </w:tc>
        <w:tc>
          <w:tcPr>
            <w:tcW w:w="1672" w:type="dxa"/>
            <w:tcBorders>
              <w:top w:val="nil"/>
              <w:left w:val="nil"/>
              <w:bottom w:val="single" w:sz="4" w:space="0" w:color="auto"/>
              <w:right w:val="single" w:sz="4" w:space="0" w:color="auto"/>
            </w:tcBorders>
            <w:noWrap/>
            <w:vAlign w:val="bottom"/>
            <w:hideMark/>
          </w:tcPr>
          <w:p w14:paraId="6FCEB2CF"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105%</w:t>
            </w:r>
          </w:p>
        </w:tc>
        <w:tc>
          <w:tcPr>
            <w:tcW w:w="1715" w:type="dxa"/>
            <w:tcBorders>
              <w:top w:val="nil"/>
              <w:left w:val="nil"/>
              <w:bottom w:val="single" w:sz="4" w:space="0" w:color="auto"/>
              <w:right w:val="single" w:sz="4" w:space="0" w:color="auto"/>
            </w:tcBorders>
            <w:noWrap/>
            <w:vAlign w:val="bottom"/>
            <w:hideMark/>
          </w:tcPr>
          <w:p w14:paraId="67AEA5A9"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-11%</w:t>
            </w:r>
          </w:p>
        </w:tc>
      </w:tr>
      <w:tr w:rsidR="00B73B61" w:rsidRPr="00B8456B" w14:paraId="4449C7CC"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185015EA"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2014</w:t>
            </w:r>
          </w:p>
        </w:tc>
        <w:tc>
          <w:tcPr>
            <w:tcW w:w="1313" w:type="dxa"/>
            <w:tcBorders>
              <w:top w:val="nil"/>
              <w:left w:val="nil"/>
              <w:bottom w:val="single" w:sz="4" w:space="0" w:color="auto"/>
              <w:right w:val="single" w:sz="4" w:space="0" w:color="auto"/>
            </w:tcBorders>
            <w:noWrap/>
            <w:vAlign w:val="bottom"/>
            <w:hideMark/>
          </w:tcPr>
          <w:p w14:paraId="5365834E"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4%</w:t>
            </w:r>
          </w:p>
        </w:tc>
        <w:tc>
          <w:tcPr>
            <w:tcW w:w="1672" w:type="dxa"/>
            <w:tcBorders>
              <w:top w:val="nil"/>
              <w:left w:val="nil"/>
              <w:bottom w:val="single" w:sz="4" w:space="0" w:color="auto"/>
              <w:right w:val="single" w:sz="4" w:space="0" w:color="auto"/>
            </w:tcBorders>
            <w:noWrap/>
            <w:vAlign w:val="bottom"/>
            <w:hideMark/>
          </w:tcPr>
          <w:p w14:paraId="786B243E"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58%</w:t>
            </w:r>
          </w:p>
        </w:tc>
        <w:tc>
          <w:tcPr>
            <w:tcW w:w="1715" w:type="dxa"/>
            <w:tcBorders>
              <w:top w:val="nil"/>
              <w:left w:val="nil"/>
              <w:bottom w:val="single" w:sz="4" w:space="0" w:color="auto"/>
              <w:right w:val="single" w:sz="4" w:space="0" w:color="auto"/>
            </w:tcBorders>
            <w:noWrap/>
            <w:vAlign w:val="bottom"/>
            <w:hideMark/>
          </w:tcPr>
          <w:p w14:paraId="415A67B8"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38%</w:t>
            </w:r>
          </w:p>
        </w:tc>
      </w:tr>
      <w:tr w:rsidR="00B73B61" w:rsidRPr="00B8456B" w14:paraId="635FBDD9"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5D82C1A9"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2015</w:t>
            </w:r>
          </w:p>
        </w:tc>
        <w:tc>
          <w:tcPr>
            <w:tcW w:w="1313" w:type="dxa"/>
            <w:tcBorders>
              <w:top w:val="nil"/>
              <w:left w:val="nil"/>
              <w:bottom w:val="single" w:sz="4" w:space="0" w:color="auto"/>
              <w:right w:val="single" w:sz="4" w:space="0" w:color="auto"/>
            </w:tcBorders>
            <w:noWrap/>
            <w:vAlign w:val="bottom"/>
            <w:hideMark/>
          </w:tcPr>
          <w:p w14:paraId="7C4C6774"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672" w:type="dxa"/>
            <w:tcBorders>
              <w:top w:val="nil"/>
              <w:left w:val="nil"/>
              <w:bottom w:val="single" w:sz="4" w:space="0" w:color="auto"/>
              <w:right w:val="single" w:sz="4" w:space="0" w:color="auto"/>
            </w:tcBorders>
            <w:noWrap/>
            <w:vAlign w:val="bottom"/>
            <w:hideMark/>
          </w:tcPr>
          <w:p w14:paraId="1A29BF09"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715" w:type="dxa"/>
            <w:tcBorders>
              <w:top w:val="nil"/>
              <w:left w:val="nil"/>
              <w:bottom w:val="single" w:sz="4" w:space="0" w:color="auto"/>
              <w:right w:val="single" w:sz="4" w:space="0" w:color="auto"/>
            </w:tcBorders>
            <w:noWrap/>
            <w:vAlign w:val="bottom"/>
            <w:hideMark/>
          </w:tcPr>
          <w:p w14:paraId="4E927357"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B73B61" w:rsidRPr="00B8456B" w14:paraId="290D092F"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6B032797"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2016</w:t>
            </w:r>
          </w:p>
        </w:tc>
        <w:tc>
          <w:tcPr>
            <w:tcW w:w="1313" w:type="dxa"/>
            <w:tcBorders>
              <w:top w:val="nil"/>
              <w:left w:val="nil"/>
              <w:bottom w:val="single" w:sz="4" w:space="0" w:color="auto"/>
              <w:right w:val="single" w:sz="4" w:space="0" w:color="auto"/>
            </w:tcBorders>
            <w:noWrap/>
            <w:vAlign w:val="bottom"/>
            <w:hideMark/>
          </w:tcPr>
          <w:p w14:paraId="7312AC10"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672" w:type="dxa"/>
            <w:tcBorders>
              <w:top w:val="nil"/>
              <w:left w:val="nil"/>
              <w:bottom w:val="single" w:sz="4" w:space="0" w:color="auto"/>
              <w:right w:val="single" w:sz="4" w:space="0" w:color="auto"/>
            </w:tcBorders>
            <w:noWrap/>
            <w:vAlign w:val="bottom"/>
            <w:hideMark/>
          </w:tcPr>
          <w:p w14:paraId="2E5FC458"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715" w:type="dxa"/>
            <w:tcBorders>
              <w:top w:val="nil"/>
              <w:left w:val="nil"/>
              <w:bottom w:val="single" w:sz="4" w:space="0" w:color="auto"/>
              <w:right w:val="single" w:sz="4" w:space="0" w:color="auto"/>
            </w:tcBorders>
            <w:noWrap/>
            <w:vAlign w:val="bottom"/>
            <w:hideMark/>
          </w:tcPr>
          <w:p w14:paraId="2AFC386A"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B73B61" w:rsidRPr="00B8456B" w14:paraId="43651636"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74261F45"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2017</w:t>
            </w:r>
          </w:p>
        </w:tc>
        <w:tc>
          <w:tcPr>
            <w:tcW w:w="1313" w:type="dxa"/>
            <w:tcBorders>
              <w:top w:val="nil"/>
              <w:left w:val="nil"/>
              <w:bottom w:val="single" w:sz="4" w:space="0" w:color="auto"/>
              <w:right w:val="single" w:sz="4" w:space="0" w:color="auto"/>
            </w:tcBorders>
            <w:noWrap/>
            <w:vAlign w:val="bottom"/>
            <w:hideMark/>
          </w:tcPr>
          <w:p w14:paraId="758A9A0A"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672" w:type="dxa"/>
            <w:tcBorders>
              <w:top w:val="nil"/>
              <w:left w:val="nil"/>
              <w:bottom w:val="single" w:sz="4" w:space="0" w:color="auto"/>
              <w:right w:val="single" w:sz="4" w:space="0" w:color="auto"/>
            </w:tcBorders>
            <w:noWrap/>
            <w:vAlign w:val="bottom"/>
            <w:hideMark/>
          </w:tcPr>
          <w:p w14:paraId="61447B20"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715" w:type="dxa"/>
            <w:tcBorders>
              <w:top w:val="nil"/>
              <w:left w:val="nil"/>
              <w:bottom w:val="single" w:sz="4" w:space="0" w:color="auto"/>
              <w:right w:val="single" w:sz="4" w:space="0" w:color="auto"/>
            </w:tcBorders>
            <w:noWrap/>
            <w:vAlign w:val="bottom"/>
            <w:hideMark/>
          </w:tcPr>
          <w:p w14:paraId="1B346075"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B73B61" w:rsidRPr="00B8456B" w14:paraId="7B5B27A8"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1811E7D1"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2018</w:t>
            </w:r>
          </w:p>
        </w:tc>
        <w:tc>
          <w:tcPr>
            <w:tcW w:w="1313" w:type="dxa"/>
            <w:tcBorders>
              <w:top w:val="nil"/>
              <w:left w:val="nil"/>
              <w:bottom w:val="single" w:sz="4" w:space="0" w:color="auto"/>
              <w:right w:val="single" w:sz="4" w:space="0" w:color="auto"/>
            </w:tcBorders>
            <w:noWrap/>
            <w:vAlign w:val="bottom"/>
            <w:hideMark/>
          </w:tcPr>
          <w:p w14:paraId="01F6FA5F"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672" w:type="dxa"/>
            <w:tcBorders>
              <w:top w:val="nil"/>
              <w:left w:val="nil"/>
              <w:bottom w:val="single" w:sz="4" w:space="0" w:color="auto"/>
              <w:right w:val="single" w:sz="4" w:space="0" w:color="auto"/>
            </w:tcBorders>
            <w:noWrap/>
            <w:vAlign w:val="bottom"/>
            <w:hideMark/>
          </w:tcPr>
          <w:p w14:paraId="7AEFBFE3"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715" w:type="dxa"/>
            <w:tcBorders>
              <w:top w:val="nil"/>
              <w:left w:val="nil"/>
              <w:bottom w:val="single" w:sz="4" w:space="0" w:color="auto"/>
              <w:right w:val="single" w:sz="4" w:space="0" w:color="auto"/>
            </w:tcBorders>
            <w:noWrap/>
            <w:vAlign w:val="bottom"/>
            <w:hideMark/>
          </w:tcPr>
          <w:p w14:paraId="5AA15C34"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B73B61" w:rsidRPr="00B8456B" w14:paraId="43902963"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730D4007"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2019</w:t>
            </w:r>
          </w:p>
        </w:tc>
        <w:tc>
          <w:tcPr>
            <w:tcW w:w="1313" w:type="dxa"/>
            <w:tcBorders>
              <w:top w:val="nil"/>
              <w:left w:val="nil"/>
              <w:bottom w:val="single" w:sz="4" w:space="0" w:color="auto"/>
              <w:right w:val="single" w:sz="4" w:space="0" w:color="auto"/>
            </w:tcBorders>
            <w:noWrap/>
            <w:vAlign w:val="bottom"/>
            <w:hideMark/>
          </w:tcPr>
          <w:p w14:paraId="5E5E513D"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672" w:type="dxa"/>
            <w:tcBorders>
              <w:top w:val="nil"/>
              <w:left w:val="nil"/>
              <w:bottom w:val="single" w:sz="4" w:space="0" w:color="auto"/>
              <w:right w:val="single" w:sz="4" w:space="0" w:color="auto"/>
            </w:tcBorders>
            <w:noWrap/>
            <w:vAlign w:val="bottom"/>
            <w:hideMark/>
          </w:tcPr>
          <w:p w14:paraId="635F855F"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715" w:type="dxa"/>
            <w:tcBorders>
              <w:top w:val="nil"/>
              <w:left w:val="nil"/>
              <w:bottom w:val="single" w:sz="4" w:space="0" w:color="auto"/>
              <w:right w:val="single" w:sz="4" w:space="0" w:color="auto"/>
            </w:tcBorders>
            <w:noWrap/>
            <w:vAlign w:val="bottom"/>
            <w:hideMark/>
          </w:tcPr>
          <w:p w14:paraId="628C8326"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r w:rsidR="00B73B61" w:rsidRPr="00B8456B" w14:paraId="2856B957" w14:textId="77777777" w:rsidTr="00B73B61">
        <w:trPr>
          <w:trHeight w:val="240"/>
        </w:trPr>
        <w:tc>
          <w:tcPr>
            <w:tcW w:w="1480" w:type="dxa"/>
            <w:tcBorders>
              <w:top w:val="nil"/>
              <w:left w:val="single" w:sz="4" w:space="0" w:color="auto"/>
              <w:bottom w:val="single" w:sz="4" w:space="0" w:color="auto"/>
              <w:right w:val="single" w:sz="4" w:space="0" w:color="auto"/>
            </w:tcBorders>
            <w:noWrap/>
            <w:vAlign w:val="bottom"/>
            <w:hideMark/>
          </w:tcPr>
          <w:p w14:paraId="0C9099FA" w14:textId="77777777" w:rsidR="00B73B61" w:rsidRPr="00B8456B" w:rsidRDefault="00B73B61" w:rsidP="00B8456B">
            <w:pPr>
              <w:spacing w:after="0" w:line="240" w:lineRule="auto"/>
              <w:rPr>
                <w:rFonts w:eastAsia="Times New Roman" w:cstheme="minorHAnsi"/>
                <w:sz w:val="20"/>
                <w:szCs w:val="20"/>
                <w:lang w:eastAsia="en-CA"/>
              </w:rPr>
            </w:pPr>
            <w:r w:rsidRPr="00B8456B">
              <w:rPr>
                <w:rFonts w:eastAsia="Times New Roman" w:cstheme="minorHAnsi"/>
                <w:sz w:val="20"/>
                <w:szCs w:val="20"/>
                <w:lang w:eastAsia="en-CA"/>
              </w:rPr>
              <w:t>2020</w:t>
            </w:r>
          </w:p>
        </w:tc>
        <w:tc>
          <w:tcPr>
            <w:tcW w:w="1313" w:type="dxa"/>
            <w:tcBorders>
              <w:top w:val="nil"/>
              <w:left w:val="nil"/>
              <w:bottom w:val="single" w:sz="4" w:space="0" w:color="auto"/>
              <w:right w:val="single" w:sz="4" w:space="0" w:color="auto"/>
            </w:tcBorders>
            <w:noWrap/>
            <w:vAlign w:val="bottom"/>
            <w:hideMark/>
          </w:tcPr>
          <w:p w14:paraId="226FCB96"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672" w:type="dxa"/>
            <w:tcBorders>
              <w:top w:val="nil"/>
              <w:left w:val="nil"/>
              <w:bottom w:val="single" w:sz="4" w:space="0" w:color="auto"/>
              <w:right w:val="single" w:sz="4" w:space="0" w:color="auto"/>
            </w:tcBorders>
            <w:noWrap/>
            <w:vAlign w:val="bottom"/>
            <w:hideMark/>
          </w:tcPr>
          <w:p w14:paraId="35E20313"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c>
          <w:tcPr>
            <w:tcW w:w="1715" w:type="dxa"/>
            <w:tcBorders>
              <w:top w:val="nil"/>
              <w:left w:val="nil"/>
              <w:bottom w:val="single" w:sz="4" w:space="0" w:color="auto"/>
              <w:right w:val="single" w:sz="4" w:space="0" w:color="auto"/>
            </w:tcBorders>
            <w:noWrap/>
            <w:vAlign w:val="bottom"/>
            <w:hideMark/>
          </w:tcPr>
          <w:p w14:paraId="3A9CB19D" w14:textId="77777777" w:rsidR="00B73B61" w:rsidRPr="00B8456B" w:rsidRDefault="00B73B61" w:rsidP="00B8456B">
            <w:pPr>
              <w:spacing w:after="0" w:line="240" w:lineRule="auto"/>
              <w:jc w:val="right"/>
              <w:rPr>
                <w:rFonts w:eastAsia="Times New Roman" w:cstheme="minorHAnsi"/>
                <w:sz w:val="20"/>
                <w:szCs w:val="20"/>
                <w:lang w:eastAsia="en-CA"/>
              </w:rPr>
            </w:pPr>
            <w:r w:rsidRPr="00B8456B">
              <w:rPr>
                <w:rFonts w:eastAsia="Times New Roman" w:cstheme="minorHAnsi"/>
                <w:sz w:val="20"/>
                <w:szCs w:val="20"/>
                <w:lang w:eastAsia="en-CA"/>
              </w:rPr>
              <w:t>0%</w:t>
            </w:r>
          </w:p>
        </w:tc>
      </w:tr>
    </w:tbl>
    <w:p w14:paraId="3088F2EC" w14:textId="77777777" w:rsidR="003111DA" w:rsidRPr="008370DE" w:rsidRDefault="00D928EC" w:rsidP="003111DA">
      <w:pPr>
        <w:spacing w:after="0" w:line="240" w:lineRule="auto"/>
        <w:rPr>
          <w:b/>
          <w:bCs/>
          <w:sz w:val="20"/>
          <w:szCs w:val="20"/>
        </w:rPr>
      </w:pPr>
      <w:r w:rsidRPr="008370DE">
        <w:rPr>
          <w:b/>
          <w:bCs/>
          <w:sz w:val="20"/>
          <w:szCs w:val="20"/>
        </w:rPr>
        <w:t xml:space="preserve">Note: </w:t>
      </w:r>
      <w:r w:rsidR="00A114CD" w:rsidRPr="008370DE">
        <w:rPr>
          <w:sz w:val="20"/>
          <w:szCs w:val="20"/>
        </w:rPr>
        <w:t>Royalty rate is calculated using royalty data divided by resource rent, and this resulting rate would be the rate applied to the resource value (NPV)</w:t>
      </w:r>
      <w:r w:rsidR="000151C4" w:rsidRPr="008370DE">
        <w:rPr>
          <w:sz w:val="20"/>
          <w:szCs w:val="20"/>
        </w:rPr>
        <w:t>.</w:t>
      </w:r>
    </w:p>
    <w:p w14:paraId="1488AA6D" w14:textId="18A2AC16" w:rsidR="00BD6657" w:rsidRPr="008370DE" w:rsidRDefault="00A114CD" w:rsidP="003111DA">
      <w:pPr>
        <w:spacing w:after="0" w:line="240" w:lineRule="auto"/>
        <w:rPr>
          <w:sz w:val="20"/>
          <w:szCs w:val="20"/>
        </w:rPr>
      </w:pPr>
      <w:r w:rsidRPr="008370DE">
        <w:rPr>
          <w:b/>
          <w:bCs/>
          <w:sz w:val="20"/>
          <w:szCs w:val="20"/>
        </w:rPr>
        <w:lastRenderedPageBreak/>
        <w:t>Source:</w:t>
      </w:r>
      <w:r w:rsidRPr="008370DE">
        <w:rPr>
          <w:sz w:val="20"/>
          <w:szCs w:val="20"/>
        </w:rPr>
        <w:t xml:space="preserve"> Statistics Canada. </w:t>
      </w:r>
      <w:hyperlink r:id="rId14" w:history="1">
        <w:r w:rsidRPr="008370DE">
          <w:rPr>
            <w:rStyle w:val="Hyperlink"/>
            <w:sz w:val="20"/>
            <w:szCs w:val="20"/>
          </w:rPr>
          <w:t>Table 10-10-0017-01 Canadian government finance statistics for the provincial and territorial governments</w:t>
        </w:r>
      </w:hyperlink>
      <w:r w:rsidRPr="008370DE">
        <w:rPr>
          <w:sz w:val="20"/>
          <w:szCs w:val="20"/>
        </w:rPr>
        <w:t xml:space="preserve">; </w:t>
      </w:r>
      <w:hyperlink r:id="rId15" w:history="1">
        <w:r w:rsidRPr="008370DE">
          <w:rPr>
            <w:rStyle w:val="Hyperlink"/>
            <w:sz w:val="20"/>
            <w:szCs w:val="20"/>
          </w:rPr>
          <w:t>Table 38-10-0006-01 Value of selected natural resource reserves (x 1,000,000)</w:t>
        </w:r>
      </w:hyperlink>
      <w:r w:rsidRPr="008370DE">
        <w:rPr>
          <w:sz w:val="20"/>
          <w:szCs w:val="20"/>
        </w:rPr>
        <w:t xml:space="preserve">. </w:t>
      </w:r>
    </w:p>
    <w:p w14:paraId="67147146" w14:textId="77777777" w:rsidR="00677DF5" w:rsidRDefault="00677DF5" w:rsidP="00BD6657"/>
    <w:p w14:paraId="7B4C584F" w14:textId="19DB9417" w:rsidR="00BD6657" w:rsidRPr="00BD6657" w:rsidRDefault="0056194D" w:rsidP="00BD6657">
      <w:pPr>
        <w:pStyle w:val="Heading3"/>
      </w:pPr>
      <w:r>
        <w:t>3.</w:t>
      </w:r>
      <w:r w:rsidR="00FD7600">
        <w:t>2</w:t>
      </w:r>
      <w:r>
        <w:t xml:space="preserve"> </w:t>
      </w:r>
      <w:r w:rsidR="004C0A4D" w:rsidRPr="00BC6A98">
        <w:t>Potash</w:t>
      </w:r>
    </w:p>
    <w:p w14:paraId="260B223B" w14:textId="54A39CE2" w:rsidR="006A789A" w:rsidRDefault="00F21E7C" w:rsidP="000A3F4F">
      <w:pPr>
        <w:spacing w:afterLines="40" w:after="96" w:line="240" w:lineRule="auto"/>
        <w:textAlignment w:val="center"/>
      </w:pPr>
      <w:r>
        <w:t>In Canada, p</w:t>
      </w:r>
      <w:r w:rsidR="006A789A" w:rsidRPr="006A789A">
        <w:t>otash is</w:t>
      </w:r>
      <w:r w:rsidR="00E6757C">
        <w:t xml:space="preserve"> only</w:t>
      </w:r>
      <w:r w:rsidR="006A789A" w:rsidRPr="006A789A">
        <w:t xml:space="preserve"> mined in the province of Saskatchewan</w:t>
      </w:r>
      <w:r w:rsidR="00076F1C">
        <w:t xml:space="preserve"> (SK)</w:t>
      </w:r>
      <w:r w:rsidR="006A789A" w:rsidRPr="006A789A">
        <w:t xml:space="preserve">. </w:t>
      </w:r>
      <w:r w:rsidR="00DE2294">
        <w:t xml:space="preserve">Saskatchewan </w:t>
      </w:r>
      <w:r w:rsidR="006A789A" w:rsidRPr="006A789A">
        <w:t>has a detailed subsurface royalty regime that calculates royalties payable</w:t>
      </w:r>
      <w:r w:rsidR="006A789A" w:rsidRPr="00020419">
        <w:rPr>
          <w:vertAlign w:val="superscript"/>
        </w:rPr>
        <w:footnoteReference w:id="11"/>
      </w:r>
      <w:r w:rsidR="006A789A" w:rsidRPr="00020419">
        <w:rPr>
          <w:vertAlign w:val="superscript"/>
        </w:rPr>
        <w:t xml:space="preserve"> </w:t>
      </w:r>
      <w:r w:rsidR="006A789A" w:rsidRPr="006A789A">
        <w:t xml:space="preserve">for each company/disposition holder. </w:t>
      </w:r>
    </w:p>
    <w:p w14:paraId="500B73C3" w14:textId="7D30333F" w:rsidR="00863847" w:rsidRDefault="005C1ECA" w:rsidP="00863847">
      <w:pPr>
        <w:spacing w:afterLines="40" w:after="96" w:line="240" w:lineRule="auto"/>
        <w:textAlignment w:val="center"/>
      </w:pPr>
      <w:r>
        <w:t xml:space="preserve">The </w:t>
      </w:r>
      <w:r w:rsidR="00DA5E2D">
        <w:t>Saskatchewan</w:t>
      </w:r>
      <w:r>
        <w:t xml:space="preserve"> regime </w:t>
      </w:r>
      <w:r w:rsidR="009333BB">
        <w:t>sets</w:t>
      </w:r>
      <w:r>
        <w:t xml:space="preserve"> the</w:t>
      </w:r>
      <w:r w:rsidR="00076F1C">
        <w:t xml:space="preserve"> </w:t>
      </w:r>
      <w:r w:rsidR="003A52D6" w:rsidRPr="003A52D6">
        <w:t xml:space="preserve">royalty rate </w:t>
      </w:r>
      <w:r w:rsidR="00076F1C">
        <w:t>a</w:t>
      </w:r>
      <w:r w:rsidR="00985620">
        <w:t>t</w:t>
      </w:r>
      <w:r w:rsidR="003A52D6" w:rsidRPr="003A52D6">
        <w:t xml:space="preserve"> 3</w:t>
      </w:r>
      <w:r w:rsidR="00216FB4">
        <w:t>%</w:t>
      </w:r>
      <w:r w:rsidR="003A52D6">
        <w:t xml:space="preserve"> and</w:t>
      </w:r>
      <w:r w:rsidR="00985620">
        <w:t xml:space="preserve"> this percentage</w:t>
      </w:r>
      <w:r w:rsidR="003A52D6">
        <w:t xml:space="preserve"> is applied to the </w:t>
      </w:r>
      <w:r w:rsidR="00E0572A">
        <w:t>‘</w:t>
      </w:r>
      <w:r w:rsidR="003A52D6">
        <w:t>value</w:t>
      </w:r>
      <w:r w:rsidR="00E0572A">
        <w:t>’</w:t>
      </w:r>
      <w:r w:rsidR="003A52D6">
        <w:t xml:space="preserve"> of potash. </w:t>
      </w:r>
      <w:r w:rsidR="00115F86" w:rsidRPr="00115F86">
        <w:t xml:space="preserve">For the purposes of this calculation, </w:t>
      </w:r>
      <w:r w:rsidR="00E0572A" w:rsidRPr="00E0572A">
        <w:t>th</w:t>
      </w:r>
      <w:r w:rsidR="00985620">
        <w:t>e</w:t>
      </w:r>
      <w:r w:rsidR="00E0572A" w:rsidRPr="00E0572A">
        <w:t xml:space="preserve"> </w:t>
      </w:r>
      <w:r w:rsidR="00E0572A">
        <w:t>‘</w:t>
      </w:r>
      <w:r w:rsidR="00E0572A" w:rsidRPr="00E0572A">
        <w:t>value</w:t>
      </w:r>
      <w:r w:rsidR="00E0572A">
        <w:t>’</w:t>
      </w:r>
      <w:r w:rsidR="00E0572A" w:rsidRPr="00E0572A">
        <w:t xml:space="preserve"> is treated as revenue and is calculated as the quantity of potash produced (Q) multiplied by the average price (P)</w:t>
      </w:r>
      <w:r w:rsidR="00E0572A">
        <w:t xml:space="preserve"> </w:t>
      </w:r>
      <w:r w:rsidR="003A52D6" w:rsidRPr="003A52D6">
        <w:t>realized by the producer in the year</w:t>
      </w:r>
      <w:r w:rsidR="00257142">
        <w:t>, as reported by</w:t>
      </w:r>
      <w:r w:rsidR="003A52D6" w:rsidRPr="003A52D6">
        <w:t xml:space="preserve"> </w:t>
      </w:r>
      <w:r w:rsidR="003A52D6" w:rsidRPr="001140CC">
        <w:rPr>
          <w:i/>
          <w:iCs/>
        </w:rPr>
        <w:t>The Potash Production Tax Regulations</w:t>
      </w:r>
      <w:r w:rsidR="00F00CAE">
        <w:rPr>
          <w:i/>
          <w:iCs/>
        </w:rPr>
        <w:t xml:space="preserve"> </w:t>
      </w:r>
      <w:r w:rsidR="001860D6">
        <w:t>(prior to 2025 amendments)</w:t>
      </w:r>
      <w:r w:rsidR="00863847">
        <w:t>.</w:t>
      </w:r>
      <w:r w:rsidR="00F35431" w:rsidRPr="00F35431">
        <w:t xml:space="preserve"> </w:t>
      </w:r>
    </w:p>
    <w:p w14:paraId="78DE6AE8" w14:textId="44756633" w:rsidR="00E6137E" w:rsidRDefault="00712C9F" w:rsidP="003438C1">
      <w:pPr>
        <w:spacing w:afterLines="40" w:after="96" w:line="240" w:lineRule="auto"/>
        <w:textAlignment w:val="center"/>
      </w:pPr>
      <w:r w:rsidRPr="00712C9F">
        <w:t xml:space="preserve">Royalty data for potash mines in Canada </w:t>
      </w:r>
      <w:r w:rsidR="00985620">
        <w:t>are</w:t>
      </w:r>
      <w:r w:rsidR="00985620" w:rsidRPr="00712C9F">
        <w:t xml:space="preserve"> </w:t>
      </w:r>
      <w:r w:rsidR="00A5191C">
        <w:t xml:space="preserve">also </w:t>
      </w:r>
      <w:r w:rsidRPr="00712C9F">
        <w:t>available through</w:t>
      </w:r>
      <w:r w:rsidR="00A77837">
        <w:t xml:space="preserve"> </w:t>
      </w:r>
      <w:r w:rsidR="00A74750">
        <w:t>a Statistics</w:t>
      </w:r>
      <w:r w:rsidR="0069210C">
        <w:t xml:space="preserve"> Canada</w:t>
      </w:r>
      <w:r w:rsidR="00CF6757">
        <w:t>’s</w:t>
      </w:r>
      <w:r w:rsidRPr="00712C9F">
        <w:t xml:space="preserve"> </w:t>
      </w:r>
      <w:r w:rsidR="00CF6757">
        <w:t xml:space="preserve">Annual Mineral Metals Production </w:t>
      </w:r>
      <w:r w:rsidR="00A04B9E">
        <w:t>S</w:t>
      </w:r>
      <w:r w:rsidR="00A04B9E" w:rsidRPr="00712C9F">
        <w:t>urve</w:t>
      </w:r>
      <w:r w:rsidR="00A04B9E">
        <w:t>y (AMNP), although this data is not publicly available and therefore wasn’t used in this report.</w:t>
      </w:r>
    </w:p>
    <w:p w14:paraId="1F8FA40B" w14:textId="40BD13C9" w:rsidR="00E63ABD" w:rsidRDefault="00A04B9E" w:rsidP="003438C1">
      <w:pPr>
        <w:spacing w:afterLines="40" w:after="96" w:line="240" w:lineRule="auto"/>
        <w:textAlignment w:val="center"/>
      </w:pPr>
      <w:r>
        <w:t>Tables 4 and 5 show the sp</w:t>
      </w:r>
      <w:r w:rsidR="002B46C8">
        <w:t>l</w:t>
      </w:r>
      <w:r>
        <w:t xml:space="preserve">it ownership of the potash </w:t>
      </w:r>
      <w:r w:rsidR="002B46C8">
        <w:t>value (</w:t>
      </w:r>
      <w:r>
        <w:t>NPV</w:t>
      </w:r>
      <w:r w:rsidR="002B46C8">
        <w:t>)</w:t>
      </w:r>
      <w:r>
        <w:t>, using royalty calculated from the Saskatchewan regime.</w:t>
      </w:r>
    </w:p>
    <w:p w14:paraId="04976FB1" w14:textId="77777777" w:rsidR="003438C1" w:rsidRDefault="003438C1" w:rsidP="003438C1">
      <w:pPr>
        <w:spacing w:afterLines="40" w:after="96" w:line="240" w:lineRule="auto"/>
        <w:textAlignment w:val="center"/>
      </w:pPr>
    </w:p>
    <w:p w14:paraId="4CD91174" w14:textId="7FA80447" w:rsidR="003954EA" w:rsidRPr="00E026F0" w:rsidRDefault="003954EA" w:rsidP="00E026F0">
      <w:pPr>
        <w:rPr>
          <w:b/>
          <w:bCs/>
        </w:rPr>
      </w:pPr>
      <w:r w:rsidRPr="00E026F0">
        <w:rPr>
          <w:b/>
          <w:bCs/>
        </w:rPr>
        <w:t>3.</w:t>
      </w:r>
      <w:r w:rsidR="001B5058">
        <w:rPr>
          <w:b/>
          <w:bCs/>
        </w:rPr>
        <w:t>2</w:t>
      </w:r>
      <w:r w:rsidRPr="00E026F0">
        <w:rPr>
          <w:b/>
          <w:bCs/>
        </w:rPr>
        <w:t xml:space="preserve">.2 </w:t>
      </w:r>
      <w:r w:rsidR="007843FA">
        <w:rPr>
          <w:b/>
          <w:bCs/>
        </w:rPr>
        <w:t xml:space="preserve">Results and </w:t>
      </w:r>
      <w:r w:rsidR="00985620">
        <w:rPr>
          <w:b/>
          <w:bCs/>
        </w:rPr>
        <w:t>c</w:t>
      </w:r>
      <w:r w:rsidRPr="00E026F0">
        <w:rPr>
          <w:b/>
          <w:bCs/>
        </w:rPr>
        <w:t>hallenges</w:t>
      </w:r>
    </w:p>
    <w:p w14:paraId="2F4A409A" w14:textId="0B71DE3C" w:rsidR="00F76097" w:rsidRDefault="0014638A" w:rsidP="003954EA">
      <w:pPr>
        <w:spacing w:afterLines="40" w:after="96" w:line="240" w:lineRule="auto"/>
      </w:pPr>
      <w:r>
        <w:t>A</w:t>
      </w:r>
      <w:r w:rsidR="00322820">
        <w:t>n assumption</w:t>
      </w:r>
      <w:r>
        <w:t xml:space="preserve"> was</w:t>
      </w:r>
      <w:r w:rsidR="00322820" w:rsidRPr="00322820">
        <w:t xml:space="preserve"> made in the process of estimating royalty value</w:t>
      </w:r>
      <w:r w:rsidR="00985620">
        <w:t>s</w:t>
      </w:r>
      <w:r w:rsidR="00322820" w:rsidRPr="00322820">
        <w:t xml:space="preserve"> under the </w:t>
      </w:r>
      <w:r w:rsidR="003B6CD9">
        <w:t xml:space="preserve">Saskatchewan </w:t>
      </w:r>
      <w:r w:rsidR="00322820" w:rsidRPr="00322820">
        <w:t xml:space="preserve">regime. In principle, the variable </w:t>
      </w:r>
      <w:r w:rsidR="00322820" w:rsidRPr="00322820">
        <w:rPr>
          <w:i/>
          <w:iCs/>
        </w:rPr>
        <w:t>P</w:t>
      </w:r>
      <w:r w:rsidR="00322820" w:rsidRPr="00322820">
        <w:t xml:space="preserve"> (the average price of potash) is calculated as gross revenue divided by the </w:t>
      </w:r>
      <w:r w:rsidR="00322820">
        <w:t>sales volume, with sales volume being the amount produced that was sold or disposed of in a year.</w:t>
      </w:r>
      <w:r w:rsidR="00322820" w:rsidRPr="00322820">
        <w:t xml:space="preserve"> However, as this specific sales data </w:t>
      </w:r>
      <w:r w:rsidR="00076F1C">
        <w:t>is</w:t>
      </w:r>
      <w:r w:rsidR="00076F1C" w:rsidRPr="00322820">
        <w:t xml:space="preserve"> </w:t>
      </w:r>
      <w:r w:rsidR="00322820" w:rsidRPr="00322820">
        <w:t xml:space="preserve">not </w:t>
      </w:r>
      <w:r w:rsidR="00173A7A">
        <w:t xml:space="preserve">readily </w:t>
      </w:r>
      <w:r w:rsidR="00322820" w:rsidRPr="00322820">
        <w:t xml:space="preserve">available, the </w:t>
      </w:r>
      <w:r w:rsidR="00322820">
        <w:t xml:space="preserve">averaged yearly </w:t>
      </w:r>
      <w:r w:rsidR="00322820" w:rsidRPr="00322820">
        <w:t>price</w:t>
      </w:r>
      <w:r w:rsidR="00B556ED">
        <w:t xml:space="preserve"> used in the NRAA estimates</w:t>
      </w:r>
      <w:r w:rsidR="00322820" w:rsidRPr="00322820">
        <w:t xml:space="preserve">—sourced from Bloomberg end-of-day prices—was used as a proxy. Given that this same price is applied in the revenue calculations within the </w:t>
      </w:r>
      <w:r w:rsidR="007E093B">
        <w:t>NRAA,</w:t>
      </w:r>
      <w:r w:rsidR="00322820" w:rsidRPr="00322820">
        <w:t xml:space="preserve"> the resulting approximation is expected to have only a minor impact on the </w:t>
      </w:r>
      <w:r w:rsidR="007E093B">
        <w:t>royalty</w:t>
      </w:r>
      <w:r w:rsidR="007E093B" w:rsidRPr="00322820">
        <w:t xml:space="preserve"> </w:t>
      </w:r>
      <w:r w:rsidR="00322820" w:rsidRPr="00322820">
        <w:t>estimate</w:t>
      </w:r>
      <w:r w:rsidR="008D5EB0">
        <w:t>.</w:t>
      </w:r>
      <w:r w:rsidR="00322820" w:rsidRPr="00322820">
        <w:t xml:space="preserve"> </w:t>
      </w:r>
    </w:p>
    <w:p w14:paraId="5B6EE006" w14:textId="00C676B7" w:rsidR="00A04B9E" w:rsidRDefault="00A04B9E" w:rsidP="0014638A">
      <w:pPr>
        <w:spacing w:afterLines="40" w:after="96" w:line="240" w:lineRule="auto"/>
      </w:pPr>
      <w:r w:rsidRPr="003728D4">
        <w:t xml:space="preserve">The results suggest </w:t>
      </w:r>
      <w:r>
        <w:t>that</w:t>
      </w:r>
      <w:r w:rsidRPr="003728D4">
        <w:t>, when economic rent is positive, the province’s share</w:t>
      </w:r>
      <w:r>
        <w:t xml:space="preserve"> of NPV</w:t>
      </w:r>
      <w:r w:rsidRPr="003728D4">
        <w:t xml:space="preserve"> ranges between 3% and 11%. The federal share is zero </w:t>
      </w:r>
      <w:r>
        <w:t>because there is no federal ownership of potash mineral leases, therefore no potash royalties are reported.</w:t>
      </w:r>
    </w:p>
    <w:p w14:paraId="33361C24" w14:textId="19318198" w:rsidR="00964099" w:rsidRDefault="0014638A" w:rsidP="0014638A">
      <w:pPr>
        <w:spacing w:afterLines="40" w:after="96" w:line="240" w:lineRule="auto"/>
      </w:pPr>
      <w:r>
        <w:t xml:space="preserve">The </w:t>
      </w:r>
      <w:r w:rsidR="00173A7A">
        <w:t xml:space="preserve">Statistics Canada </w:t>
      </w:r>
      <w:r w:rsidR="00A04B9E">
        <w:t xml:space="preserve">AMNP </w:t>
      </w:r>
      <w:r>
        <w:t>survey</w:t>
      </w:r>
      <w:r w:rsidRPr="00567717">
        <w:t xml:space="preserve"> could potentially serve as a reliable source of resource-level royalty data</w:t>
      </w:r>
      <w:r w:rsidR="001C79B0">
        <w:t xml:space="preserve"> in the future</w:t>
      </w:r>
      <w:r w:rsidR="00A04B9E">
        <w:t>.</w:t>
      </w:r>
      <w:r w:rsidR="00A04B9E" w:rsidRPr="00A04B9E">
        <w:t xml:space="preserve"> </w:t>
      </w:r>
      <w:r w:rsidR="00A04B9E" w:rsidRPr="008C746B">
        <w:t>However, because the microdata are not produced for publication, further collaboration with the survey program is needed to verify key methodological aspects, such as whether royalty values are recorded on an accrual basis and whether processing adjustments are applied</w:t>
      </w:r>
      <w:r w:rsidR="00A04B9E">
        <w:t xml:space="preserve">, before they are used in this way.  </w:t>
      </w:r>
      <w:r w:rsidRPr="00567717">
        <w:t xml:space="preserve"> </w:t>
      </w:r>
    </w:p>
    <w:p w14:paraId="135C3C2E" w14:textId="6FB60580" w:rsidR="003954EA" w:rsidRPr="004950D0" w:rsidRDefault="003954EA" w:rsidP="003954EA">
      <w:pPr>
        <w:spacing w:afterLines="40" w:after="96" w:line="240" w:lineRule="auto"/>
      </w:pPr>
      <w:r>
        <w:t>I</w:t>
      </w:r>
      <w:r w:rsidR="00F23E66">
        <w:t>t is i</w:t>
      </w:r>
      <w:r>
        <w:t>mportant to note that in addition to the royalty regime, Saskatchewan also has a detailed potash tax structure</w:t>
      </w:r>
      <w:r w:rsidR="00A04B9E">
        <w:t>,</w:t>
      </w:r>
      <w:r>
        <w:rPr>
          <w:rStyle w:val="FootnoteReference"/>
        </w:rPr>
        <w:footnoteReference w:id="12"/>
      </w:r>
      <w:r w:rsidR="00CA72E1">
        <w:t xml:space="preserve"> and t</w:t>
      </w:r>
      <w:r w:rsidRPr="0000686A">
        <w:t>he bulk</w:t>
      </w:r>
      <w:r>
        <w:t xml:space="preserve"> </w:t>
      </w:r>
      <w:r w:rsidRPr="0000686A">
        <w:t>of provincial revenue from potash is generated through mineral taxes rather than royalties</w:t>
      </w:r>
      <w:r>
        <w:t xml:space="preserve"> each year</w:t>
      </w:r>
      <w:r w:rsidR="00AE405A">
        <w:t>.</w:t>
      </w:r>
      <w:r w:rsidR="006F2979">
        <w:t xml:space="preserve"> </w:t>
      </w:r>
      <w:r w:rsidR="006F2979" w:rsidRPr="006F2979">
        <w:t xml:space="preserve">As a result, royalty-based methods may understate </w:t>
      </w:r>
      <w:r w:rsidR="006F2979">
        <w:t xml:space="preserve">ownership, </w:t>
      </w:r>
      <w:r w:rsidR="006F2979" w:rsidRPr="006F2979">
        <w:t>an issue that extends beyond Saskatchewan to other jurisdictions</w:t>
      </w:r>
      <w:r w:rsidR="006F2979">
        <w:t xml:space="preserve"> with similar frameworks. </w:t>
      </w:r>
      <w:r w:rsidR="0014638A">
        <w:t>P</w:t>
      </w:r>
      <w:r w:rsidR="00CA72E1">
        <w:t>lease</w:t>
      </w:r>
      <w:r w:rsidRPr="004950D0">
        <w:t xml:space="preserve"> </w:t>
      </w:r>
      <w:r w:rsidR="00CA72E1">
        <w:t>r</w:t>
      </w:r>
      <w:r w:rsidR="007C2553">
        <w:t xml:space="preserve">efer to </w:t>
      </w:r>
      <w:r w:rsidR="006F2979">
        <w:t xml:space="preserve">Section 5.0 </w:t>
      </w:r>
      <w:r w:rsidR="00327899">
        <w:t xml:space="preserve">Outstanding </w:t>
      </w:r>
      <w:r w:rsidR="002D699B">
        <w:t>q</w:t>
      </w:r>
      <w:r w:rsidR="00327899">
        <w:t>uestions</w:t>
      </w:r>
      <w:r w:rsidR="006F2979">
        <w:t xml:space="preserve"> for further discussion on tax</w:t>
      </w:r>
      <w:r w:rsidR="002D699B">
        <w:t>es</w:t>
      </w:r>
      <w:r w:rsidR="006F2979">
        <w:t xml:space="preserve"> versus royalties.</w:t>
      </w:r>
      <w:r w:rsidR="007C2553">
        <w:t xml:space="preserve">  </w:t>
      </w:r>
    </w:p>
    <w:p w14:paraId="23E51767" w14:textId="77777777" w:rsidR="00F47366" w:rsidRPr="008370DE" w:rsidRDefault="00B66147" w:rsidP="00C32D45">
      <w:pPr>
        <w:keepLines/>
        <w:spacing w:after="0" w:line="240" w:lineRule="auto"/>
        <w:rPr>
          <w:b/>
          <w:bCs/>
          <w:sz w:val="20"/>
          <w:szCs w:val="20"/>
        </w:rPr>
      </w:pPr>
      <w:r w:rsidRPr="008370DE">
        <w:rPr>
          <w:b/>
          <w:bCs/>
          <w:sz w:val="20"/>
          <w:szCs w:val="20"/>
        </w:rPr>
        <w:t xml:space="preserve">Table </w:t>
      </w:r>
      <w:r w:rsidR="00CE0B1D" w:rsidRPr="008370DE">
        <w:rPr>
          <w:b/>
          <w:bCs/>
          <w:sz w:val="20"/>
          <w:szCs w:val="20"/>
        </w:rPr>
        <w:t>5</w:t>
      </w:r>
    </w:p>
    <w:p w14:paraId="244C9409" w14:textId="5658DE72" w:rsidR="00B66147" w:rsidRPr="008370DE" w:rsidRDefault="00E754ED" w:rsidP="00C32D45">
      <w:pPr>
        <w:keepLines/>
        <w:spacing w:after="0" w:line="240" w:lineRule="auto"/>
        <w:rPr>
          <w:b/>
          <w:bCs/>
          <w:sz w:val="20"/>
          <w:szCs w:val="20"/>
        </w:rPr>
      </w:pPr>
      <w:r w:rsidRPr="008370DE">
        <w:rPr>
          <w:b/>
          <w:bCs/>
          <w:sz w:val="20"/>
          <w:szCs w:val="20"/>
        </w:rPr>
        <w:t xml:space="preserve">Allocation of potash </w:t>
      </w:r>
      <w:r w:rsidR="00F47366" w:rsidRPr="008370DE">
        <w:rPr>
          <w:b/>
          <w:bCs/>
          <w:sz w:val="20"/>
          <w:szCs w:val="20"/>
        </w:rPr>
        <w:t>present value on net price I</w:t>
      </w:r>
      <w:r w:rsidR="00C35457" w:rsidRPr="008370DE">
        <w:rPr>
          <w:b/>
          <w:bCs/>
          <w:sz w:val="20"/>
          <w:szCs w:val="20"/>
        </w:rPr>
        <w:t xml:space="preserve">, </w:t>
      </w:r>
      <w:r w:rsidRPr="008370DE">
        <w:rPr>
          <w:b/>
          <w:bCs/>
          <w:sz w:val="20"/>
          <w:szCs w:val="20"/>
        </w:rPr>
        <w:t>by economic owners</w:t>
      </w:r>
      <w:r w:rsidR="00C35457" w:rsidRPr="008370DE">
        <w:rPr>
          <w:b/>
          <w:bCs/>
          <w:sz w:val="20"/>
          <w:szCs w:val="20"/>
        </w:rPr>
        <w:t xml:space="preserve">, </w:t>
      </w:r>
      <w:r w:rsidR="007E093B" w:rsidRPr="008370DE">
        <w:rPr>
          <w:b/>
          <w:bCs/>
          <w:sz w:val="20"/>
          <w:szCs w:val="20"/>
        </w:rPr>
        <w:t>using</w:t>
      </w:r>
      <w:r w:rsidR="00B66147" w:rsidRPr="008370DE">
        <w:rPr>
          <w:b/>
          <w:bCs/>
          <w:sz w:val="20"/>
          <w:szCs w:val="20"/>
        </w:rPr>
        <w:t xml:space="preserve"> the royalty </w:t>
      </w:r>
      <w:r w:rsidR="007364BD" w:rsidRPr="008370DE">
        <w:rPr>
          <w:b/>
          <w:bCs/>
          <w:sz w:val="20"/>
          <w:szCs w:val="20"/>
        </w:rPr>
        <w:t>values calculated from</w:t>
      </w:r>
      <w:r w:rsidR="00B66147" w:rsidRPr="008370DE">
        <w:rPr>
          <w:b/>
          <w:bCs/>
          <w:sz w:val="20"/>
          <w:szCs w:val="20"/>
        </w:rPr>
        <w:t xml:space="preserve"> Saskatchewan regime</w:t>
      </w:r>
      <w:r w:rsidR="00C35457" w:rsidRPr="008370DE">
        <w:rPr>
          <w:b/>
          <w:bCs/>
          <w:sz w:val="20"/>
          <w:szCs w:val="20"/>
        </w:rPr>
        <w:t>, 2010 to 2020</w:t>
      </w:r>
    </w:p>
    <w:tbl>
      <w:tblPr>
        <w:tblStyle w:val="TableGrid"/>
        <w:tblW w:w="0" w:type="auto"/>
        <w:tblLook w:val="04A0" w:firstRow="1" w:lastRow="0" w:firstColumn="1" w:lastColumn="0" w:noHBand="0" w:noVBand="1"/>
      </w:tblPr>
      <w:tblGrid>
        <w:gridCol w:w="1600"/>
        <w:gridCol w:w="1600"/>
        <w:gridCol w:w="1331"/>
        <w:gridCol w:w="1955"/>
        <w:gridCol w:w="2354"/>
      </w:tblGrid>
      <w:tr w:rsidR="00034AF2" w:rsidRPr="003111DA" w14:paraId="5A97B08F" w14:textId="77777777" w:rsidTr="00034AF2">
        <w:trPr>
          <w:trHeight w:val="580"/>
        </w:trPr>
        <w:tc>
          <w:tcPr>
            <w:tcW w:w="1600" w:type="dxa"/>
            <w:noWrap/>
            <w:hideMark/>
          </w:tcPr>
          <w:p w14:paraId="5C0EC581" w14:textId="77777777" w:rsidR="00034AF2" w:rsidRPr="003111DA" w:rsidRDefault="00034AF2" w:rsidP="00034AF2">
            <w:pPr>
              <w:rPr>
                <w:rFonts w:cstheme="minorHAnsi"/>
                <w:b/>
                <w:bCs/>
                <w:sz w:val="20"/>
                <w:szCs w:val="20"/>
              </w:rPr>
            </w:pPr>
            <w:r w:rsidRPr="003111DA">
              <w:rPr>
                <w:rFonts w:cstheme="minorHAnsi"/>
                <w:b/>
                <w:bCs/>
                <w:sz w:val="20"/>
                <w:szCs w:val="20"/>
              </w:rPr>
              <w:lastRenderedPageBreak/>
              <w:t> </w:t>
            </w:r>
          </w:p>
        </w:tc>
        <w:tc>
          <w:tcPr>
            <w:tcW w:w="1600" w:type="dxa"/>
            <w:hideMark/>
          </w:tcPr>
          <w:p w14:paraId="3DBBBC08" w14:textId="54C72616" w:rsidR="00034AF2" w:rsidRPr="003111DA" w:rsidRDefault="00034AF2" w:rsidP="00034AF2">
            <w:pPr>
              <w:rPr>
                <w:rFonts w:cstheme="minorHAnsi"/>
                <w:b/>
                <w:bCs/>
                <w:sz w:val="20"/>
                <w:szCs w:val="20"/>
              </w:rPr>
            </w:pPr>
            <w:r w:rsidRPr="003111DA">
              <w:rPr>
                <w:rFonts w:cstheme="minorHAnsi"/>
                <w:b/>
                <w:bCs/>
                <w:sz w:val="20"/>
                <w:szCs w:val="20"/>
              </w:rPr>
              <w:t xml:space="preserve">Present </w:t>
            </w:r>
            <w:r w:rsidR="00176FC5">
              <w:rPr>
                <w:rFonts w:cstheme="minorHAnsi"/>
                <w:b/>
                <w:bCs/>
                <w:sz w:val="20"/>
                <w:szCs w:val="20"/>
              </w:rPr>
              <w:t>v</w:t>
            </w:r>
            <w:r w:rsidRPr="003111DA">
              <w:rPr>
                <w:rFonts w:cstheme="minorHAnsi"/>
                <w:b/>
                <w:bCs/>
                <w:sz w:val="20"/>
                <w:szCs w:val="20"/>
              </w:rPr>
              <w:t xml:space="preserve">alue (on </w:t>
            </w:r>
            <w:r w:rsidR="00176FC5">
              <w:rPr>
                <w:rFonts w:cstheme="minorHAnsi"/>
                <w:b/>
                <w:bCs/>
                <w:sz w:val="20"/>
                <w:szCs w:val="20"/>
              </w:rPr>
              <w:t>n</w:t>
            </w:r>
            <w:r w:rsidRPr="003111DA">
              <w:rPr>
                <w:rFonts w:cstheme="minorHAnsi"/>
                <w:b/>
                <w:bCs/>
                <w:sz w:val="20"/>
                <w:szCs w:val="20"/>
              </w:rPr>
              <w:t xml:space="preserve">et </w:t>
            </w:r>
            <w:r w:rsidR="00176FC5">
              <w:rPr>
                <w:rFonts w:cstheme="minorHAnsi"/>
                <w:b/>
                <w:bCs/>
                <w:sz w:val="20"/>
                <w:szCs w:val="20"/>
              </w:rPr>
              <w:t>p</w:t>
            </w:r>
            <w:r w:rsidRPr="003111DA">
              <w:rPr>
                <w:rFonts w:cstheme="minorHAnsi"/>
                <w:b/>
                <w:bCs/>
                <w:sz w:val="20"/>
                <w:szCs w:val="20"/>
              </w:rPr>
              <w:t>rice I</w:t>
            </w:r>
            <w:r w:rsidR="00D62A68" w:rsidRPr="003111DA">
              <w:rPr>
                <w:rFonts w:cstheme="minorHAnsi"/>
              </w:rPr>
              <w:fldChar w:fldCharType="begin"/>
            </w:r>
            <w:r w:rsidR="00D62A68" w:rsidRPr="003111DA">
              <w:rPr>
                <w:rFonts w:cstheme="minorHAnsi"/>
                <w:b/>
                <w:bCs/>
                <w:sz w:val="20"/>
                <w:szCs w:val="20"/>
              </w:rPr>
              <w:instrText xml:space="preserve"> NOTEREF _Ref234931629 \f \h </w:instrText>
            </w:r>
            <w:r w:rsidR="00F47366" w:rsidRPr="003111DA">
              <w:rPr>
                <w:rFonts w:cstheme="minorHAnsi"/>
              </w:rPr>
              <w:instrText xml:space="preserve"> \* MERGEFORMAT </w:instrText>
            </w:r>
            <w:r w:rsidR="00D62A68" w:rsidRPr="003111DA">
              <w:rPr>
                <w:rFonts w:cstheme="minorHAnsi"/>
              </w:rPr>
            </w:r>
            <w:r w:rsidR="00D62A68" w:rsidRPr="003111DA">
              <w:rPr>
                <w:rFonts w:cstheme="minorHAnsi"/>
              </w:rPr>
              <w:fldChar w:fldCharType="separate"/>
            </w:r>
            <w:r w:rsidR="00D62A68" w:rsidRPr="003111DA">
              <w:rPr>
                <w:rStyle w:val="FootnoteReference"/>
                <w:rFonts w:cstheme="minorHAnsi"/>
              </w:rPr>
              <w:t>9</w:t>
            </w:r>
            <w:r w:rsidR="00D62A68" w:rsidRPr="003111DA">
              <w:rPr>
                <w:rFonts w:cstheme="minorHAnsi"/>
              </w:rPr>
              <w:fldChar w:fldCharType="end"/>
            </w:r>
            <w:r w:rsidRPr="003111DA">
              <w:rPr>
                <w:rFonts w:cstheme="minorHAnsi"/>
                <w:b/>
                <w:bCs/>
                <w:sz w:val="20"/>
                <w:szCs w:val="20"/>
              </w:rPr>
              <w:t xml:space="preserve">) </w:t>
            </w:r>
          </w:p>
        </w:tc>
        <w:tc>
          <w:tcPr>
            <w:tcW w:w="5300" w:type="dxa"/>
            <w:gridSpan w:val="3"/>
            <w:hideMark/>
          </w:tcPr>
          <w:p w14:paraId="52BE1DE0" w14:textId="77777777" w:rsidR="00034AF2" w:rsidRPr="003111DA" w:rsidRDefault="00034AF2" w:rsidP="00034AF2">
            <w:pPr>
              <w:jc w:val="both"/>
              <w:rPr>
                <w:rFonts w:cstheme="minorHAnsi"/>
                <w:b/>
                <w:bCs/>
                <w:sz w:val="20"/>
                <w:szCs w:val="20"/>
              </w:rPr>
            </w:pPr>
          </w:p>
          <w:p w14:paraId="66295466" w14:textId="770D0A15" w:rsidR="00034AF2" w:rsidRPr="003111DA" w:rsidRDefault="00E754ED" w:rsidP="00034AF2">
            <w:pPr>
              <w:jc w:val="center"/>
              <w:rPr>
                <w:rFonts w:cstheme="minorHAnsi"/>
                <w:b/>
                <w:bCs/>
                <w:sz w:val="20"/>
                <w:szCs w:val="20"/>
              </w:rPr>
            </w:pPr>
            <w:r w:rsidRPr="003111DA">
              <w:rPr>
                <w:rFonts w:cstheme="minorHAnsi"/>
                <w:b/>
                <w:bCs/>
                <w:sz w:val="20"/>
                <w:szCs w:val="20"/>
              </w:rPr>
              <w:t xml:space="preserve">Split </w:t>
            </w:r>
            <w:r w:rsidR="00176FC5">
              <w:rPr>
                <w:rFonts w:cstheme="minorHAnsi"/>
                <w:b/>
                <w:bCs/>
                <w:sz w:val="20"/>
                <w:szCs w:val="20"/>
              </w:rPr>
              <w:t>o</w:t>
            </w:r>
            <w:r w:rsidRPr="003111DA">
              <w:rPr>
                <w:rFonts w:cstheme="minorHAnsi"/>
                <w:b/>
                <w:bCs/>
                <w:sz w:val="20"/>
                <w:szCs w:val="20"/>
              </w:rPr>
              <w:t>wnership</w:t>
            </w:r>
            <w:r w:rsidR="00034AF2" w:rsidRPr="003111DA">
              <w:rPr>
                <w:rFonts w:cstheme="minorHAnsi"/>
                <w:b/>
                <w:bCs/>
                <w:sz w:val="20"/>
                <w:szCs w:val="20"/>
              </w:rPr>
              <w:t xml:space="preserve"> of</w:t>
            </w:r>
            <w:r w:rsidR="00F47366" w:rsidRPr="003111DA">
              <w:rPr>
                <w:rFonts w:cstheme="minorHAnsi"/>
                <w:b/>
                <w:bCs/>
                <w:sz w:val="20"/>
                <w:szCs w:val="20"/>
              </w:rPr>
              <w:t xml:space="preserve"> value</w:t>
            </w:r>
          </w:p>
        </w:tc>
      </w:tr>
      <w:tr w:rsidR="00034AF2" w:rsidRPr="003111DA" w14:paraId="60F0A26C" w14:textId="77777777" w:rsidTr="00034AF2">
        <w:trPr>
          <w:trHeight w:val="260"/>
        </w:trPr>
        <w:tc>
          <w:tcPr>
            <w:tcW w:w="1600" w:type="dxa"/>
            <w:noWrap/>
            <w:hideMark/>
          </w:tcPr>
          <w:p w14:paraId="085D402F" w14:textId="562612EA" w:rsidR="00034AF2" w:rsidRPr="003111DA" w:rsidRDefault="00034AF2" w:rsidP="00034AF2">
            <w:pPr>
              <w:rPr>
                <w:rFonts w:cstheme="minorHAnsi"/>
                <w:b/>
                <w:bCs/>
                <w:sz w:val="20"/>
                <w:szCs w:val="20"/>
              </w:rPr>
            </w:pPr>
            <w:r w:rsidRPr="003111DA">
              <w:rPr>
                <w:rFonts w:cstheme="minorHAnsi"/>
                <w:b/>
                <w:bCs/>
                <w:sz w:val="20"/>
                <w:szCs w:val="20"/>
              </w:rPr>
              <w:t> </w:t>
            </w:r>
            <w:r w:rsidR="00F47366" w:rsidRPr="003111DA">
              <w:rPr>
                <w:rFonts w:cstheme="minorHAnsi"/>
                <w:b/>
                <w:bCs/>
                <w:sz w:val="20"/>
                <w:szCs w:val="20"/>
              </w:rPr>
              <w:t>Year</w:t>
            </w:r>
          </w:p>
        </w:tc>
        <w:tc>
          <w:tcPr>
            <w:tcW w:w="1600" w:type="dxa"/>
            <w:noWrap/>
            <w:hideMark/>
          </w:tcPr>
          <w:p w14:paraId="7C740391" w14:textId="77777777" w:rsidR="00034AF2" w:rsidRPr="003111DA" w:rsidRDefault="00034AF2">
            <w:pPr>
              <w:rPr>
                <w:rFonts w:cstheme="minorHAnsi"/>
                <w:sz w:val="20"/>
                <w:szCs w:val="20"/>
              </w:rPr>
            </w:pPr>
            <w:r w:rsidRPr="003111DA">
              <w:rPr>
                <w:rFonts w:cstheme="minorHAnsi"/>
                <w:sz w:val="20"/>
                <w:szCs w:val="20"/>
              </w:rPr>
              <w:t> </w:t>
            </w:r>
          </w:p>
        </w:tc>
        <w:tc>
          <w:tcPr>
            <w:tcW w:w="1331" w:type="dxa"/>
            <w:noWrap/>
            <w:hideMark/>
          </w:tcPr>
          <w:p w14:paraId="09B9D03C" w14:textId="77777777" w:rsidR="00034AF2" w:rsidRPr="003111DA" w:rsidRDefault="00034AF2" w:rsidP="00F47366">
            <w:pPr>
              <w:jc w:val="right"/>
              <w:rPr>
                <w:rFonts w:cstheme="minorHAnsi"/>
                <w:b/>
                <w:bCs/>
                <w:sz w:val="20"/>
                <w:szCs w:val="20"/>
              </w:rPr>
            </w:pPr>
            <w:r w:rsidRPr="003111DA">
              <w:rPr>
                <w:rFonts w:cstheme="minorHAnsi"/>
                <w:b/>
                <w:bCs/>
                <w:sz w:val="20"/>
                <w:szCs w:val="20"/>
              </w:rPr>
              <w:t>Federal</w:t>
            </w:r>
          </w:p>
        </w:tc>
        <w:tc>
          <w:tcPr>
            <w:tcW w:w="1615" w:type="dxa"/>
            <w:noWrap/>
            <w:hideMark/>
          </w:tcPr>
          <w:p w14:paraId="38763955" w14:textId="3AAEF3A1" w:rsidR="00034AF2" w:rsidRPr="003111DA" w:rsidRDefault="001A13B9" w:rsidP="00F47366">
            <w:pPr>
              <w:jc w:val="right"/>
              <w:rPr>
                <w:rFonts w:cstheme="minorHAnsi"/>
                <w:b/>
                <w:bCs/>
                <w:sz w:val="20"/>
                <w:szCs w:val="20"/>
              </w:rPr>
            </w:pPr>
            <w:r w:rsidRPr="006357BC">
              <w:rPr>
                <w:rFonts w:eastAsia="Times New Roman" w:cstheme="minorHAnsi"/>
                <w:b/>
                <w:bCs/>
                <w:color w:val="000000"/>
                <w:sz w:val="20"/>
                <w:szCs w:val="20"/>
                <w:lang w:eastAsia="en-CA"/>
              </w:rPr>
              <w:t>Provincial/Territorial</w:t>
            </w:r>
          </w:p>
        </w:tc>
        <w:tc>
          <w:tcPr>
            <w:tcW w:w="2354" w:type="dxa"/>
            <w:noWrap/>
            <w:hideMark/>
          </w:tcPr>
          <w:p w14:paraId="2A8239D0" w14:textId="325CFF6B" w:rsidR="00034AF2" w:rsidRPr="003111DA" w:rsidRDefault="00034AF2" w:rsidP="00F47366">
            <w:pPr>
              <w:jc w:val="right"/>
              <w:rPr>
                <w:rFonts w:cstheme="minorHAnsi"/>
                <w:b/>
                <w:bCs/>
                <w:sz w:val="20"/>
                <w:szCs w:val="20"/>
              </w:rPr>
            </w:pPr>
            <w:r w:rsidRPr="003111DA">
              <w:rPr>
                <w:rFonts w:cstheme="minorHAnsi"/>
                <w:b/>
                <w:bCs/>
                <w:sz w:val="20"/>
                <w:szCs w:val="20"/>
              </w:rPr>
              <w:t>Corporat</w:t>
            </w:r>
            <w:r w:rsidR="00D94E46">
              <w:rPr>
                <w:rFonts w:cstheme="minorHAnsi"/>
                <w:b/>
                <w:bCs/>
                <w:sz w:val="20"/>
                <w:szCs w:val="20"/>
              </w:rPr>
              <w:t>ion</w:t>
            </w:r>
          </w:p>
        </w:tc>
      </w:tr>
      <w:tr w:rsidR="00F47366" w:rsidRPr="003111DA" w14:paraId="4C5BBB07" w14:textId="77777777" w:rsidTr="002251D8">
        <w:trPr>
          <w:trHeight w:val="260"/>
        </w:trPr>
        <w:tc>
          <w:tcPr>
            <w:tcW w:w="1600" w:type="dxa"/>
            <w:noWrap/>
            <w:hideMark/>
          </w:tcPr>
          <w:p w14:paraId="0A93FC7A" w14:textId="77777777" w:rsidR="00F47366" w:rsidRPr="003111DA" w:rsidRDefault="00F47366" w:rsidP="00034AF2">
            <w:pPr>
              <w:rPr>
                <w:rFonts w:cstheme="minorHAnsi"/>
                <w:b/>
                <w:bCs/>
                <w:sz w:val="20"/>
                <w:szCs w:val="20"/>
              </w:rPr>
            </w:pPr>
            <w:r w:rsidRPr="003111DA">
              <w:rPr>
                <w:rFonts w:cstheme="minorHAnsi"/>
                <w:b/>
                <w:bCs/>
                <w:sz w:val="20"/>
                <w:szCs w:val="20"/>
              </w:rPr>
              <w:t> </w:t>
            </w:r>
          </w:p>
        </w:tc>
        <w:tc>
          <w:tcPr>
            <w:tcW w:w="6900" w:type="dxa"/>
            <w:gridSpan w:val="4"/>
            <w:noWrap/>
            <w:hideMark/>
          </w:tcPr>
          <w:p w14:paraId="3E4A884D" w14:textId="0C076060" w:rsidR="00F47366" w:rsidRPr="003111DA" w:rsidRDefault="00F47366" w:rsidP="00034AF2">
            <w:pPr>
              <w:jc w:val="center"/>
              <w:rPr>
                <w:rFonts w:cstheme="minorHAnsi"/>
                <w:sz w:val="20"/>
                <w:szCs w:val="20"/>
              </w:rPr>
            </w:pPr>
            <w:r w:rsidRPr="003111DA">
              <w:rPr>
                <w:rFonts w:cstheme="minorHAnsi"/>
                <w:sz w:val="20"/>
                <w:szCs w:val="20"/>
              </w:rPr>
              <w:t>millions of Canadian dollars</w:t>
            </w:r>
          </w:p>
        </w:tc>
      </w:tr>
      <w:tr w:rsidR="00034AF2" w:rsidRPr="003111DA" w14:paraId="2A971D3D" w14:textId="77777777" w:rsidTr="00034AF2">
        <w:trPr>
          <w:trHeight w:val="250"/>
        </w:trPr>
        <w:tc>
          <w:tcPr>
            <w:tcW w:w="1600" w:type="dxa"/>
            <w:noWrap/>
            <w:hideMark/>
          </w:tcPr>
          <w:p w14:paraId="7622D933" w14:textId="77777777" w:rsidR="00034AF2" w:rsidRPr="003111DA" w:rsidRDefault="00034AF2" w:rsidP="00034AF2">
            <w:pPr>
              <w:rPr>
                <w:rFonts w:cstheme="minorHAnsi"/>
                <w:sz w:val="20"/>
                <w:szCs w:val="20"/>
              </w:rPr>
            </w:pPr>
            <w:r w:rsidRPr="003111DA">
              <w:rPr>
                <w:rFonts w:cstheme="minorHAnsi"/>
                <w:sz w:val="20"/>
                <w:szCs w:val="20"/>
              </w:rPr>
              <w:t>2010</w:t>
            </w:r>
          </w:p>
        </w:tc>
        <w:tc>
          <w:tcPr>
            <w:tcW w:w="1600" w:type="dxa"/>
            <w:noWrap/>
            <w:hideMark/>
          </w:tcPr>
          <w:p w14:paraId="31F37BAE" w14:textId="01A4AC77" w:rsidR="00034AF2" w:rsidRPr="003111DA" w:rsidRDefault="00034AF2" w:rsidP="00F47366">
            <w:pPr>
              <w:jc w:val="right"/>
              <w:rPr>
                <w:rFonts w:cstheme="minorHAnsi"/>
                <w:sz w:val="20"/>
                <w:szCs w:val="20"/>
              </w:rPr>
            </w:pPr>
            <w:r w:rsidRPr="003111DA">
              <w:rPr>
                <w:rFonts w:cstheme="minorHAnsi"/>
                <w:sz w:val="20"/>
                <w:szCs w:val="20"/>
              </w:rPr>
              <w:t>78,881</w:t>
            </w:r>
          </w:p>
        </w:tc>
        <w:tc>
          <w:tcPr>
            <w:tcW w:w="1331" w:type="dxa"/>
            <w:noWrap/>
            <w:hideMark/>
          </w:tcPr>
          <w:p w14:paraId="64DC8951" w14:textId="305FD24A"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7B8CD0B9" w14:textId="643E554B" w:rsidR="00034AF2" w:rsidRPr="003111DA" w:rsidRDefault="00034AF2" w:rsidP="00F47366">
            <w:pPr>
              <w:jc w:val="right"/>
              <w:rPr>
                <w:rFonts w:cstheme="minorHAnsi"/>
                <w:sz w:val="20"/>
                <w:szCs w:val="20"/>
              </w:rPr>
            </w:pPr>
            <w:r w:rsidRPr="003111DA">
              <w:rPr>
                <w:rFonts w:cstheme="minorHAnsi"/>
                <w:sz w:val="20"/>
                <w:szCs w:val="20"/>
              </w:rPr>
              <w:t>2,610</w:t>
            </w:r>
          </w:p>
        </w:tc>
        <w:tc>
          <w:tcPr>
            <w:tcW w:w="2354" w:type="dxa"/>
            <w:noWrap/>
            <w:hideMark/>
          </w:tcPr>
          <w:p w14:paraId="6430436A" w14:textId="2B3F91EA" w:rsidR="00034AF2" w:rsidRPr="003111DA" w:rsidRDefault="00034AF2" w:rsidP="00F47366">
            <w:pPr>
              <w:jc w:val="right"/>
              <w:rPr>
                <w:rFonts w:cstheme="minorHAnsi"/>
                <w:sz w:val="20"/>
                <w:szCs w:val="20"/>
              </w:rPr>
            </w:pPr>
            <w:r w:rsidRPr="003111DA">
              <w:rPr>
                <w:rFonts w:cstheme="minorHAnsi"/>
                <w:sz w:val="20"/>
                <w:szCs w:val="20"/>
              </w:rPr>
              <w:t>76,271</w:t>
            </w:r>
          </w:p>
        </w:tc>
      </w:tr>
      <w:tr w:rsidR="00034AF2" w:rsidRPr="003111DA" w14:paraId="42AD4CC2" w14:textId="77777777" w:rsidTr="00034AF2">
        <w:trPr>
          <w:trHeight w:val="230"/>
        </w:trPr>
        <w:tc>
          <w:tcPr>
            <w:tcW w:w="1600" w:type="dxa"/>
            <w:noWrap/>
            <w:hideMark/>
          </w:tcPr>
          <w:p w14:paraId="02497DF0" w14:textId="77777777" w:rsidR="00034AF2" w:rsidRPr="003111DA" w:rsidRDefault="00034AF2" w:rsidP="00034AF2">
            <w:pPr>
              <w:rPr>
                <w:rFonts w:cstheme="minorHAnsi"/>
                <w:sz w:val="20"/>
                <w:szCs w:val="20"/>
              </w:rPr>
            </w:pPr>
            <w:r w:rsidRPr="003111DA">
              <w:rPr>
                <w:rFonts w:cstheme="minorHAnsi"/>
                <w:sz w:val="20"/>
                <w:szCs w:val="20"/>
              </w:rPr>
              <w:t>2011</w:t>
            </w:r>
          </w:p>
        </w:tc>
        <w:tc>
          <w:tcPr>
            <w:tcW w:w="1600" w:type="dxa"/>
            <w:noWrap/>
            <w:hideMark/>
          </w:tcPr>
          <w:p w14:paraId="58710C52" w14:textId="298C59E9" w:rsidR="00034AF2" w:rsidRPr="003111DA" w:rsidRDefault="00034AF2" w:rsidP="00F47366">
            <w:pPr>
              <w:jc w:val="right"/>
              <w:rPr>
                <w:rFonts w:cstheme="minorHAnsi"/>
                <w:sz w:val="20"/>
                <w:szCs w:val="20"/>
              </w:rPr>
            </w:pPr>
            <w:r w:rsidRPr="003111DA">
              <w:rPr>
                <w:rFonts w:cstheme="minorHAnsi"/>
                <w:sz w:val="20"/>
                <w:szCs w:val="20"/>
              </w:rPr>
              <w:t>138,229</w:t>
            </w:r>
          </w:p>
        </w:tc>
        <w:tc>
          <w:tcPr>
            <w:tcW w:w="1331" w:type="dxa"/>
            <w:noWrap/>
            <w:hideMark/>
          </w:tcPr>
          <w:p w14:paraId="03F27F1C" w14:textId="364D5DA9"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09030D12" w14:textId="43BBE7FB" w:rsidR="00034AF2" w:rsidRPr="003111DA" w:rsidRDefault="00034AF2" w:rsidP="00F47366">
            <w:pPr>
              <w:jc w:val="right"/>
              <w:rPr>
                <w:rFonts w:cstheme="minorHAnsi"/>
                <w:sz w:val="20"/>
                <w:szCs w:val="20"/>
              </w:rPr>
            </w:pPr>
            <w:r w:rsidRPr="003111DA">
              <w:rPr>
                <w:rFonts w:cstheme="minorHAnsi"/>
                <w:sz w:val="20"/>
                <w:szCs w:val="20"/>
              </w:rPr>
              <w:t>3,997</w:t>
            </w:r>
          </w:p>
        </w:tc>
        <w:tc>
          <w:tcPr>
            <w:tcW w:w="2354" w:type="dxa"/>
            <w:noWrap/>
            <w:hideMark/>
          </w:tcPr>
          <w:p w14:paraId="55193258" w14:textId="3B2EB135" w:rsidR="00034AF2" w:rsidRPr="003111DA" w:rsidRDefault="00034AF2" w:rsidP="00F47366">
            <w:pPr>
              <w:jc w:val="right"/>
              <w:rPr>
                <w:rFonts w:cstheme="minorHAnsi"/>
                <w:sz w:val="20"/>
                <w:szCs w:val="20"/>
              </w:rPr>
            </w:pPr>
            <w:r w:rsidRPr="003111DA">
              <w:rPr>
                <w:rFonts w:cstheme="minorHAnsi"/>
                <w:sz w:val="20"/>
                <w:szCs w:val="20"/>
              </w:rPr>
              <w:t>134,232</w:t>
            </w:r>
          </w:p>
        </w:tc>
      </w:tr>
      <w:tr w:rsidR="00034AF2" w:rsidRPr="003111DA" w14:paraId="615E3AE5" w14:textId="77777777" w:rsidTr="00034AF2">
        <w:trPr>
          <w:trHeight w:val="230"/>
        </w:trPr>
        <w:tc>
          <w:tcPr>
            <w:tcW w:w="1600" w:type="dxa"/>
            <w:noWrap/>
            <w:hideMark/>
          </w:tcPr>
          <w:p w14:paraId="0D6692CF" w14:textId="77777777" w:rsidR="00034AF2" w:rsidRPr="003111DA" w:rsidRDefault="00034AF2" w:rsidP="00034AF2">
            <w:pPr>
              <w:rPr>
                <w:rFonts w:cstheme="minorHAnsi"/>
                <w:sz w:val="20"/>
                <w:szCs w:val="20"/>
              </w:rPr>
            </w:pPr>
            <w:r w:rsidRPr="003111DA">
              <w:rPr>
                <w:rFonts w:cstheme="minorHAnsi"/>
                <w:sz w:val="20"/>
                <w:szCs w:val="20"/>
              </w:rPr>
              <w:t>2012</w:t>
            </w:r>
          </w:p>
        </w:tc>
        <w:tc>
          <w:tcPr>
            <w:tcW w:w="1600" w:type="dxa"/>
            <w:noWrap/>
            <w:hideMark/>
          </w:tcPr>
          <w:p w14:paraId="331ACAFE" w14:textId="03EE66BC" w:rsidR="00034AF2" w:rsidRPr="003111DA" w:rsidRDefault="00034AF2" w:rsidP="00F47366">
            <w:pPr>
              <w:jc w:val="right"/>
              <w:rPr>
                <w:rFonts w:cstheme="minorHAnsi"/>
                <w:sz w:val="20"/>
                <w:szCs w:val="20"/>
              </w:rPr>
            </w:pPr>
            <w:r w:rsidRPr="003111DA">
              <w:rPr>
                <w:rFonts w:cstheme="minorHAnsi"/>
                <w:sz w:val="20"/>
                <w:szCs w:val="20"/>
              </w:rPr>
              <w:t>97,852</w:t>
            </w:r>
          </w:p>
        </w:tc>
        <w:tc>
          <w:tcPr>
            <w:tcW w:w="1331" w:type="dxa"/>
            <w:noWrap/>
            <w:hideMark/>
          </w:tcPr>
          <w:p w14:paraId="25EA4A2B" w14:textId="3C996B18"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282C0992" w14:textId="0B345263" w:rsidR="00034AF2" w:rsidRPr="003111DA" w:rsidRDefault="00034AF2" w:rsidP="00F47366">
            <w:pPr>
              <w:jc w:val="right"/>
              <w:rPr>
                <w:rFonts w:cstheme="minorHAnsi"/>
                <w:sz w:val="20"/>
                <w:szCs w:val="20"/>
              </w:rPr>
            </w:pPr>
            <w:r w:rsidRPr="003111DA">
              <w:rPr>
                <w:rFonts w:cstheme="minorHAnsi"/>
                <w:sz w:val="20"/>
                <w:szCs w:val="20"/>
              </w:rPr>
              <w:t>3,322</w:t>
            </w:r>
          </w:p>
        </w:tc>
        <w:tc>
          <w:tcPr>
            <w:tcW w:w="2354" w:type="dxa"/>
            <w:noWrap/>
            <w:hideMark/>
          </w:tcPr>
          <w:p w14:paraId="3C77F77D" w14:textId="271E1030" w:rsidR="00034AF2" w:rsidRPr="003111DA" w:rsidRDefault="00034AF2" w:rsidP="00F47366">
            <w:pPr>
              <w:jc w:val="right"/>
              <w:rPr>
                <w:rFonts w:cstheme="minorHAnsi"/>
                <w:sz w:val="20"/>
                <w:szCs w:val="20"/>
              </w:rPr>
            </w:pPr>
            <w:r w:rsidRPr="003111DA">
              <w:rPr>
                <w:rFonts w:cstheme="minorHAnsi"/>
                <w:sz w:val="20"/>
                <w:szCs w:val="20"/>
              </w:rPr>
              <w:t>94,530</w:t>
            </w:r>
          </w:p>
        </w:tc>
      </w:tr>
      <w:tr w:rsidR="00034AF2" w:rsidRPr="003111DA" w14:paraId="7A62F279" w14:textId="77777777" w:rsidTr="00034AF2">
        <w:trPr>
          <w:trHeight w:val="230"/>
        </w:trPr>
        <w:tc>
          <w:tcPr>
            <w:tcW w:w="1600" w:type="dxa"/>
            <w:noWrap/>
            <w:hideMark/>
          </w:tcPr>
          <w:p w14:paraId="77063DC7" w14:textId="77777777" w:rsidR="00034AF2" w:rsidRPr="003111DA" w:rsidRDefault="00034AF2" w:rsidP="00034AF2">
            <w:pPr>
              <w:rPr>
                <w:rFonts w:cstheme="minorHAnsi"/>
                <w:sz w:val="20"/>
                <w:szCs w:val="20"/>
              </w:rPr>
            </w:pPr>
            <w:r w:rsidRPr="003111DA">
              <w:rPr>
                <w:rFonts w:cstheme="minorHAnsi"/>
                <w:sz w:val="20"/>
                <w:szCs w:val="20"/>
              </w:rPr>
              <w:t>2013</w:t>
            </w:r>
          </w:p>
        </w:tc>
        <w:tc>
          <w:tcPr>
            <w:tcW w:w="1600" w:type="dxa"/>
            <w:noWrap/>
            <w:hideMark/>
          </w:tcPr>
          <w:p w14:paraId="457CEC49" w14:textId="403029B6" w:rsidR="00034AF2" w:rsidRPr="003111DA" w:rsidRDefault="00034AF2" w:rsidP="00F47366">
            <w:pPr>
              <w:jc w:val="right"/>
              <w:rPr>
                <w:rFonts w:cstheme="minorHAnsi"/>
                <w:sz w:val="20"/>
                <w:szCs w:val="20"/>
              </w:rPr>
            </w:pPr>
            <w:r w:rsidRPr="003111DA">
              <w:rPr>
                <w:rFonts w:cstheme="minorHAnsi"/>
                <w:sz w:val="20"/>
                <w:szCs w:val="20"/>
              </w:rPr>
              <w:t>67,370</w:t>
            </w:r>
          </w:p>
        </w:tc>
        <w:tc>
          <w:tcPr>
            <w:tcW w:w="1331" w:type="dxa"/>
            <w:noWrap/>
            <w:hideMark/>
          </w:tcPr>
          <w:p w14:paraId="6481830F" w14:textId="7806C196"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578DCEC8" w14:textId="7458D4C1" w:rsidR="00034AF2" w:rsidRPr="003111DA" w:rsidRDefault="00034AF2" w:rsidP="00F47366">
            <w:pPr>
              <w:jc w:val="right"/>
              <w:rPr>
                <w:rFonts w:cstheme="minorHAnsi"/>
                <w:sz w:val="20"/>
                <w:szCs w:val="20"/>
              </w:rPr>
            </w:pPr>
            <w:r w:rsidRPr="003111DA">
              <w:rPr>
                <w:rFonts w:cstheme="minorHAnsi"/>
                <w:sz w:val="20"/>
                <w:szCs w:val="20"/>
              </w:rPr>
              <w:t>2,877</w:t>
            </w:r>
          </w:p>
        </w:tc>
        <w:tc>
          <w:tcPr>
            <w:tcW w:w="2354" w:type="dxa"/>
            <w:noWrap/>
            <w:hideMark/>
          </w:tcPr>
          <w:p w14:paraId="7642C3EB" w14:textId="489BF36B" w:rsidR="00034AF2" w:rsidRPr="003111DA" w:rsidRDefault="00034AF2" w:rsidP="00F47366">
            <w:pPr>
              <w:jc w:val="right"/>
              <w:rPr>
                <w:rFonts w:cstheme="minorHAnsi"/>
                <w:sz w:val="20"/>
                <w:szCs w:val="20"/>
              </w:rPr>
            </w:pPr>
            <w:r w:rsidRPr="003111DA">
              <w:rPr>
                <w:rFonts w:cstheme="minorHAnsi"/>
                <w:sz w:val="20"/>
                <w:szCs w:val="20"/>
              </w:rPr>
              <w:t>64,494</w:t>
            </w:r>
          </w:p>
        </w:tc>
      </w:tr>
      <w:tr w:rsidR="00034AF2" w:rsidRPr="003111DA" w14:paraId="0CF1420E" w14:textId="77777777" w:rsidTr="00034AF2">
        <w:trPr>
          <w:trHeight w:val="230"/>
        </w:trPr>
        <w:tc>
          <w:tcPr>
            <w:tcW w:w="1600" w:type="dxa"/>
            <w:noWrap/>
            <w:hideMark/>
          </w:tcPr>
          <w:p w14:paraId="40FCFF92" w14:textId="77777777" w:rsidR="00034AF2" w:rsidRPr="003111DA" w:rsidRDefault="00034AF2" w:rsidP="00034AF2">
            <w:pPr>
              <w:rPr>
                <w:rFonts w:cstheme="minorHAnsi"/>
                <w:sz w:val="20"/>
                <w:szCs w:val="20"/>
              </w:rPr>
            </w:pPr>
            <w:r w:rsidRPr="003111DA">
              <w:rPr>
                <w:rFonts w:cstheme="minorHAnsi"/>
                <w:sz w:val="20"/>
                <w:szCs w:val="20"/>
              </w:rPr>
              <w:t>2014</w:t>
            </w:r>
          </w:p>
        </w:tc>
        <w:tc>
          <w:tcPr>
            <w:tcW w:w="1600" w:type="dxa"/>
            <w:noWrap/>
            <w:hideMark/>
          </w:tcPr>
          <w:p w14:paraId="44E5685E" w14:textId="2E533094" w:rsidR="00034AF2" w:rsidRPr="003111DA" w:rsidRDefault="00034AF2" w:rsidP="00F47366">
            <w:pPr>
              <w:jc w:val="right"/>
              <w:rPr>
                <w:rFonts w:cstheme="minorHAnsi"/>
                <w:sz w:val="20"/>
                <w:szCs w:val="20"/>
              </w:rPr>
            </w:pPr>
            <w:r w:rsidRPr="003111DA">
              <w:rPr>
                <w:rFonts w:cstheme="minorHAnsi"/>
                <w:sz w:val="20"/>
                <w:szCs w:val="20"/>
              </w:rPr>
              <w:t>47,785</w:t>
            </w:r>
          </w:p>
        </w:tc>
        <w:tc>
          <w:tcPr>
            <w:tcW w:w="1331" w:type="dxa"/>
            <w:noWrap/>
            <w:hideMark/>
          </w:tcPr>
          <w:p w14:paraId="2FE1C04E" w14:textId="40584D22"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029B483B" w14:textId="41D83DD0" w:rsidR="00034AF2" w:rsidRPr="003111DA" w:rsidRDefault="00034AF2" w:rsidP="00F47366">
            <w:pPr>
              <w:jc w:val="right"/>
              <w:rPr>
                <w:rFonts w:cstheme="minorHAnsi"/>
                <w:sz w:val="20"/>
                <w:szCs w:val="20"/>
              </w:rPr>
            </w:pPr>
            <w:r w:rsidRPr="003111DA">
              <w:rPr>
                <w:rFonts w:cstheme="minorHAnsi"/>
                <w:sz w:val="20"/>
                <w:szCs w:val="20"/>
              </w:rPr>
              <w:t>2,379</w:t>
            </w:r>
          </w:p>
        </w:tc>
        <w:tc>
          <w:tcPr>
            <w:tcW w:w="2354" w:type="dxa"/>
            <w:noWrap/>
            <w:hideMark/>
          </w:tcPr>
          <w:p w14:paraId="1A2EB562" w14:textId="5C026A19" w:rsidR="00034AF2" w:rsidRPr="003111DA" w:rsidRDefault="00034AF2" w:rsidP="00F47366">
            <w:pPr>
              <w:jc w:val="right"/>
              <w:rPr>
                <w:rFonts w:cstheme="minorHAnsi"/>
                <w:sz w:val="20"/>
                <w:szCs w:val="20"/>
              </w:rPr>
            </w:pPr>
            <w:r w:rsidRPr="003111DA">
              <w:rPr>
                <w:rFonts w:cstheme="minorHAnsi"/>
                <w:sz w:val="20"/>
                <w:szCs w:val="20"/>
              </w:rPr>
              <w:t>45,406</w:t>
            </w:r>
          </w:p>
        </w:tc>
      </w:tr>
      <w:tr w:rsidR="00034AF2" w:rsidRPr="003111DA" w14:paraId="2E224856" w14:textId="77777777" w:rsidTr="00034AF2">
        <w:trPr>
          <w:trHeight w:val="230"/>
        </w:trPr>
        <w:tc>
          <w:tcPr>
            <w:tcW w:w="1600" w:type="dxa"/>
            <w:noWrap/>
            <w:hideMark/>
          </w:tcPr>
          <w:p w14:paraId="1E7FC836" w14:textId="77777777" w:rsidR="00034AF2" w:rsidRPr="003111DA" w:rsidRDefault="00034AF2" w:rsidP="00034AF2">
            <w:pPr>
              <w:rPr>
                <w:rFonts w:cstheme="minorHAnsi"/>
                <w:sz w:val="20"/>
                <w:szCs w:val="20"/>
              </w:rPr>
            </w:pPr>
            <w:r w:rsidRPr="003111DA">
              <w:rPr>
                <w:rFonts w:cstheme="minorHAnsi"/>
                <w:sz w:val="20"/>
                <w:szCs w:val="20"/>
              </w:rPr>
              <w:t>2015</w:t>
            </w:r>
          </w:p>
        </w:tc>
        <w:tc>
          <w:tcPr>
            <w:tcW w:w="1600" w:type="dxa"/>
            <w:noWrap/>
            <w:hideMark/>
          </w:tcPr>
          <w:p w14:paraId="27309124" w14:textId="07698DCF" w:rsidR="00034AF2" w:rsidRPr="003111DA" w:rsidRDefault="00034AF2" w:rsidP="00F47366">
            <w:pPr>
              <w:jc w:val="right"/>
              <w:rPr>
                <w:rFonts w:cstheme="minorHAnsi"/>
                <w:sz w:val="20"/>
                <w:szCs w:val="20"/>
              </w:rPr>
            </w:pPr>
            <w:r w:rsidRPr="003111DA">
              <w:rPr>
                <w:rFonts w:cstheme="minorHAnsi"/>
                <w:sz w:val="20"/>
                <w:szCs w:val="20"/>
              </w:rPr>
              <w:t>54,041</w:t>
            </w:r>
          </w:p>
        </w:tc>
        <w:tc>
          <w:tcPr>
            <w:tcW w:w="1331" w:type="dxa"/>
            <w:noWrap/>
            <w:hideMark/>
          </w:tcPr>
          <w:p w14:paraId="0D3CDD89" w14:textId="6A0C231C"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730B80DF" w14:textId="54305907" w:rsidR="00034AF2" w:rsidRPr="003111DA" w:rsidRDefault="00034AF2" w:rsidP="00F47366">
            <w:pPr>
              <w:jc w:val="right"/>
              <w:rPr>
                <w:rFonts w:cstheme="minorHAnsi"/>
                <w:sz w:val="20"/>
                <w:szCs w:val="20"/>
              </w:rPr>
            </w:pPr>
            <w:r w:rsidRPr="003111DA">
              <w:rPr>
                <w:rFonts w:cstheme="minorHAnsi"/>
                <w:sz w:val="20"/>
                <w:szCs w:val="20"/>
              </w:rPr>
              <w:t>2,883</w:t>
            </w:r>
          </w:p>
        </w:tc>
        <w:tc>
          <w:tcPr>
            <w:tcW w:w="2354" w:type="dxa"/>
            <w:noWrap/>
            <w:hideMark/>
          </w:tcPr>
          <w:p w14:paraId="1B5BDC61" w14:textId="3532CB07" w:rsidR="00034AF2" w:rsidRPr="003111DA" w:rsidRDefault="00034AF2" w:rsidP="00F47366">
            <w:pPr>
              <w:jc w:val="right"/>
              <w:rPr>
                <w:rFonts w:cstheme="minorHAnsi"/>
                <w:sz w:val="20"/>
                <w:szCs w:val="20"/>
              </w:rPr>
            </w:pPr>
            <w:r w:rsidRPr="003111DA">
              <w:rPr>
                <w:rFonts w:cstheme="minorHAnsi"/>
                <w:sz w:val="20"/>
                <w:szCs w:val="20"/>
              </w:rPr>
              <w:t>51,158</w:t>
            </w:r>
          </w:p>
        </w:tc>
      </w:tr>
      <w:tr w:rsidR="00034AF2" w:rsidRPr="003111DA" w14:paraId="54471BAB" w14:textId="77777777" w:rsidTr="00034AF2">
        <w:trPr>
          <w:trHeight w:val="230"/>
        </w:trPr>
        <w:tc>
          <w:tcPr>
            <w:tcW w:w="1600" w:type="dxa"/>
            <w:noWrap/>
            <w:hideMark/>
          </w:tcPr>
          <w:p w14:paraId="743DCF93" w14:textId="77777777" w:rsidR="00034AF2" w:rsidRPr="003111DA" w:rsidRDefault="00034AF2" w:rsidP="00034AF2">
            <w:pPr>
              <w:rPr>
                <w:rFonts w:cstheme="minorHAnsi"/>
                <w:sz w:val="20"/>
                <w:szCs w:val="20"/>
              </w:rPr>
            </w:pPr>
            <w:r w:rsidRPr="003111DA">
              <w:rPr>
                <w:rFonts w:cstheme="minorHAnsi"/>
                <w:sz w:val="20"/>
                <w:szCs w:val="20"/>
              </w:rPr>
              <w:t>2016</w:t>
            </w:r>
          </w:p>
        </w:tc>
        <w:tc>
          <w:tcPr>
            <w:tcW w:w="1600" w:type="dxa"/>
            <w:noWrap/>
            <w:hideMark/>
          </w:tcPr>
          <w:p w14:paraId="02512D6C" w14:textId="39572EE9" w:rsidR="00034AF2" w:rsidRPr="003111DA" w:rsidRDefault="00034AF2" w:rsidP="00F47366">
            <w:pPr>
              <w:jc w:val="right"/>
              <w:rPr>
                <w:rFonts w:cstheme="minorHAnsi"/>
                <w:sz w:val="20"/>
                <w:szCs w:val="20"/>
              </w:rPr>
            </w:pPr>
            <w:r w:rsidRPr="003111DA">
              <w:rPr>
                <w:rFonts w:cstheme="minorHAnsi"/>
                <w:sz w:val="20"/>
                <w:szCs w:val="20"/>
              </w:rPr>
              <w:t>0</w:t>
            </w:r>
          </w:p>
        </w:tc>
        <w:tc>
          <w:tcPr>
            <w:tcW w:w="1331" w:type="dxa"/>
            <w:noWrap/>
            <w:hideMark/>
          </w:tcPr>
          <w:p w14:paraId="7F4834D0" w14:textId="481A2BC9"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101F12B1" w14:textId="2F0EA14D" w:rsidR="00034AF2" w:rsidRPr="003111DA" w:rsidRDefault="00034AF2" w:rsidP="00F47366">
            <w:pPr>
              <w:jc w:val="right"/>
              <w:rPr>
                <w:rFonts w:cstheme="minorHAnsi"/>
                <w:sz w:val="20"/>
                <w:szCs w:val="20"/>
              </w:rPr>
            </w:pPr>
            <w:r w:rsidRPr="003111DA">
              <w:rPr>
                <w:rFonts w:cstheme="minorHAnsi"/>
                <w:sz w:val="20"/>
                <w:szCs w:val="20"/>
              </w:rPr>
              <w:t>0</w:t>
            </w:r>
          </w:p>
        </w:tc>
        <w:tc>
          <w:tcPr>
            <w:tcW w:w="2354" w:type="dxa"/>
            <w:noWrap/>
            <w:hideMark/>
          </w:tcPr>
          <w:p w14:paraId="131CD5EA" w14:textId="644A2DF8" w:rsidR="00034AF2" w:rsidRPr="003111DA" w:rsidRDefault="00034AF2" w:rsidP="00F47366">
            <w:pPr>
              <w:jc w:val="right"/>
              <w:rPr>
                <w:rFonts w:cstheme="minorHAnsi"/>
                <w:sz w:val="20"/>
                <w:szCs w:val="20"/>
              </w:rPr>
            </w:pPr>
            <w:r w:rsidRPr="003111DA">
              <w:rPr>
                <w:rFonts w:cstheme="minorHAnsi"/>
                <w:sz w:val="20"/>
                <w:szCs w:val="20"/>
              </w:rPr>
              <w:t>0</w:t>
            </w:r>
          </w:p>
        </w:tc>
      </w:tr>
      <w:tr w:rsidR="00034AF2" w:rsidRPr="003111DA" w14:paraId="714E8702" w14:textId="77777777" w:rsidTr="00034AF2">
        <w:trPr>
          <w:trHeight w:val="230"/>
        </w:trPr>
        <w:tc>
          <w:tcPr>
            <w:tcW w:w="1600" w:type="dxa"/>
            <w:noWrap/>
            <w:hideMark/>
          </w:tcPr>
          <w:p w14:paraId="46FD48A9" w14:textId="77777777" w:rsidR="00034AF2" w:rsidRPr="003111DA" w:rsidRDefault="00034AF2" w:rsidP="00034AF2">
            <w:pPr>
              <w:rPr>
                <w:rFonts w:cstheme="minorHAnsi"/>
                <w:sz w:val="20"/>
                <w:szCs w:val="20"/>
              </w:rPr>
            </w:pPr>
            <w:r w:rsidRPr="003111DA">
              <w:rPr>
                <w:rFonts w:cstheme="minorHAnsi"/>
                <w:sz w:val="20"/>
                <w:szCs w:val="20"/>
              </w:rPr>
              <w:t>2017</w:t>
            </w:r>
          </w:p>
        </w:tc>
        <w:tc>
          <w:tcPr>
            <w:tcW w:w="1600" w:type="dxa"/>
            <w:noWrap/>
            <w:hideMark/>
          </w:tcPr>
          <w:p w14:paraId="7DD9578E" w14:textId="6E3352D4" w:rsidR="00034AF2" w:rsidRPr="003111DA" w:rsidRDefault="00034AF2" w:rsidP="00F47366">
            <w:pPr>
              <w:jc w:val="right"/>
              <w:rPr>
                <w:rFonts w:cstheme="minorHAnsi"/>
                <w:sz w:val="20"/>
                <w:szCs w:val="20"/>
              </w:rPr>
            </w:pPr>
            <w:r w:rsidRPr="003111DA">
              <w:rPr>
                <w:rFonts w:cstheme="minorHAnsi"/>
                <w:sz w:val="20"/>
                <w:szCs w:val="20"/>
              </w:rPr>
              <w:t>8,633</w:t>
            </w:r>
          </w:p>
        </w:tc>
        <w:tc>
          <w:tcPr>
            <w:tcW w:w="1331" w:type="dxa"/>
            <w:noWrap/>
            <w:hideMark/>
          </w:tcPr>
          <w:p w14:paraId="1600CC76" w14:textId="3701CDF4"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37B097AB" w14:textId="45B203F9" w:rsidR="00034AF2" w:rsidRPr="003111DA" w:rsidRDefault="00034AF2" w:rsidP="00F47366">
            <w:pPr>
              <w:jc w:val="right"/>
              <w:rPr>
                <w:rFonts w:cstheme="minorHAnsi"/>
                <w:sz w:val="20"/>
                <w:szCs w:val="20"/>
              </w:rPr>
            </w:pPr>
            <w:r w:rsidRPr="003111DA">
              <w:rPr>
                <w:rFonts w:cstheme="minorHAnsi"/>
                <w:sz w:val="20"/>
                <w:szCs w:val="20"/>
              </w:rPr>
              <w:t>2,113</w:t>
            </w:r>
          </w:p>
        </w:tc>
        <w:tc>
          <w:tcPr>
            <w:tcW w:w="2354" w:type="dxa"/>
            <w:noWrap/>
            <w:hideMark/>
          </w:tcPr>
          <w:p w14:paraId="0CB75BEF" w14:textId="50D0AF0C" w:rsidR="00034AF2" w:rsidRPr="003111DA" w:rsidRDefault="00034AF2" w:rsidP="00F47366">
            <w:pPr>
              <w:jc w:val="right"/>
              <w:rPr>
                <w:rFonts w:cstheme="minorHAnsi"/>
                <w:sz w:val="20"/>
                <w:szCs w:val="20"/>
              </w:rPr>
            </w:pPr>
            <w:r w:rsidRPr="003111DA">
              <w:rPr>
                <w:rFonts w:cstheme="minorHAnsi"/>
                <w:sz w:val="20"/>
                <w:szCs w:val="20"/>
              </w:rPr>
              <w:t>6,520</w:t>
            </w:r>
          </w:p>
        </w:tc>
      </w:tr>
      <w:tr w:rsidR="00034AF2" w:rsidRPr="003111DA" w14:paraId="2E71E060" w14:textId="77777777" w:rsidTr="00034AF2">
        <w:trPr>
          <w:trHeight w:val="230"/>
        </w:trPr>
        <w:tc>
          <w:tcPr>
            <w:tcW w:w="1600" w:type="dxa"/>
            <w:noWrap/>
            <w:hideMark/>
          </w:tcPr>
          <w:p w14:paraId="6C9E57DA" w14:textId="77777777" w:rsidR="00034AF2" w:rsidRPr="003111DA" w:rsidRDefault="00034AF2" w:rsidP="00034AF2">
            <w:pPr>
              <w:rPr>
                <w:rFonts w:cstheme="minorHAnsi"/>
                <w:sz w:val="20"/>
                <w:szCs w:val="20"/>
              </w:rPr>
            </w:pPr>
            <w:r w:rsidRPr="003111DA">
              <w:rPr>
                <w:rFonts w:cstheme="minorHAnsi"/>
                <w:sz w:val="20"/>
                <w:szCs w:val="20"/>
              </w:rPr>
              <w:t>2018</w:t>
            </w:r>
          </w:p>
        </w:tc>
        <w:tc>
          <w:tcPr>
            <w:tcW w:w="1600" w:type="dxa"/>
            <w:noWrap/>
            <w:hideMark/>
          </w:tcPr>
          <w:p w14:paraId="119D376A" w14:textId="33D4B728" w:rsidR="00034AF2" w:rsidRPr="003111DA" w:rsidRDefault="00034AF2" w:rsidP="00F47366">
            <w:pPr>
              <w:jc w:val="right"/>
              <w:rPr>
                <w:rFonts w:cstheme="minorHAnsi"/>
                <w:sz w:val="20"/>
                <w:szCs w:val="20"/>
              </w:rPr>
            </w:pPr>
            <w:r w:rsidRPr="003111DA">
              <w:rPr>
                <w:rFonts w:cstheme="minorHAnsi"/>
                <w:sz w:val="20"/>
                <w:szCs w:val="20"/>
              </w:rPr>
              <w:t>43,082</w:t>
            </w:r>
          </w:p>
        </w:tc>
        <w:tc>
          <w:tcPr>
            <w:tcW w:w="1331" w:type="dxa"/>
            <w:noWrap/>
            <w:hideMark/>
          </w:tcPr>
          <w:p w14:paraId="5763A2AA" w14:textId="7F56A0E4"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246446B3" w14:textId="4C6B46EC" w:rsidR="00034AF2" w:rsidRPr="003111DA" w:rsidRDefault="00034AF2" w:rsidP="00F47366">
            <w:pPr>
              <w:jc w:val="right"/>
              <w:rPr>
                <w:rFonts w:cstheme="minorHAnsi"/>
                <w:sz w:val="20"/>
                <w:szCs w:val="20"/>
              </w:rPr>
            </w:pPr>
            <w:r w:rsidRPr="003111DA">
              <w:rPr>
                <w:rFonts w:cstheme="minorHAnsi"/>
                <w:sz w:val="20"/>
                <w:szCs w:val="20"/>
              </w:rPr>
              <w:t>2,790</w:t>
            </w:r>
          </w:p>
        </w:tc>
        <w:tc>
          <w:tcPr>
            <w:tcW w:w="2354" w:type="dxa"/>
            <w:noWrap/>
            <w:hideMark/>
          </w:tcPr>
          <w:p w14:paraId="35F90CEE" w14:textId="13288E03" w:rsidR="00034AF2" w:rsidRPr="003111DA" w:rsidRDefault="00034AF2" w:rsidP="00F47366">
            <w:pPr>
              <w:jc w:val="right"/>
              <w:rPr>
                <w:rFonts w:cstheme="minorHAnsi"/>
                <w:sz w:val="20"/>
                <w:szCs w:val="20"/>
              </w:rPr>
            </w:pPr>
            <w:r w:rsidRPr="003111DA">
              <w:rPr>
                <w:rFonts w:cstheme="minorHAnsi"/>
                <w:sz w:val="20"/>
                <w:szCs w:val="20"/>
              </w:rPr>
              <w:t>40,291</w:t>
            </w:r>
          </w:p>
        </w:tc>
      </w:tr>
      <w:tr w:rsidR="00034AF2" w:rsidRPr="003111DA" w14:paraId="1A463FEC" w14:textId="77777777" w:rsidTr="00034AF2">
        <w:trPr>
          <w:trHeight w:val="230"/>
        </w:trPr>
        <w:tc>
          <w:tcPr>
            <w:tcW w:w="1600" w:type="dxa"/>
            <w:noWrap/>
            <w:hideMark/>
          </w:tcPr>
          <w:p w14:paraId="61B99B83" w14:textId="77777777" w:rsidR="00034AF2" w:rsidRPr="003111DA" w:rsidRDefault="00034AF2" w:rsidP="00034AF2">
            <w:pPr>
              <w:rPr>
                <w:rFonts w:cstheme="minorHAnsi"/>
                <w:sz w:val="20"/>
                <w:szCs w:val="20"/>
              </w:rPr>
            </w:pPr>
            <w:r w:rsidRPr="003111DA">
              <w:rPr>
                <w:rFonts w:cstheme="minorHAnsi"/>
                <w:sz w:val="20"/>
                <w:szCs w:val="20"/>
              </w:rPr>
              <w:t>2019</w:t>
            </w:r>
          </w:p>
        </w:tc>
        <w:tc>
          <w:tcPr>
            <w:tcW w:w="1600" w:type="dxa"/>
            <w:noWrap/>
            <w:hideMark/>
          </w:tcPr>
          <w:p w14:paraId="288FEC39" w14:textId="54204B78" w:rsidR="00034AF2" w:rsidRPr="003111DA" w:rsidRDefault="00034AF2" w:rsidP="00F47366">
            <w:pPr>
              <w:jc w:val="right"/>
              <w:rPr>
                <w:rFonts w:cstheme="minorHAnsi"/>
                <w:sz w:val="20"/>
                <w:szCs w:val="20"/>
              </w:rPr>
            </w:pPr>
            <w:r w:rsidRPr="003111DA">
              <w:rPr>
                <w:rFonts w:cstheme="minorHAnsi"/>
                <w:sz w:val="20"/>
                <w:szCs w:val="20"/>
              </w:rPr>
              <w:t>35,284</w:t>
            </w:r>
          </w:p>
        </w:tc>
        <w:tc>
          <w:tcPr>
            <w:tcW w:w="1331" w:type="dxa"/>
            <w:noWrap/>
            <w:hideMark/>
          </w:tcPr>
          <w:p w14:paraId="3466154F" w14:textId="66C1E8CA"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4B4C3FEE" w14:textId="535E93A6" w:rsidR="00034AF2" w:rsidRPr="003111DA" w:rsidRDefault="00034AF2" w:rsidP="00F47366">
            <w:pPr>
              <w:jc w:val="right"/>
              <w:rPr>
                <w:rFonts w:cstheme="minorHAnsi"/>
                <w:sz w:val="20"/>
                <w:szCs w:val="20"/>
              </w:rPr>
            </w:pPr>
            <w:r w:rsidRPr="003111DA">
              <w:rPr>
                <w:rFonts w:cstheme="minorHAnsi"/>
                <w:sz w:val="20"/>
                <w:szCs w:val="20"/>
              </w:rPr>
              <w:t>2,888</w:t>
            </w:r>
          </w:p>
        </w:tc>
        <w:tc>
          <w:tcPr>
            <w:tcW w:w="2354" w:type="dxa"/>
            <w:noWrap/>
            <w:hideMark/>
          </w:tcPr>
          <w:p w14:paraId="473D6B32" w14:textId="064818D3" w:rsidR="00034AF2" w:rsidRPr="003111DA" w:rsidRDefault="00034AF2" w:rsidP="00F47366">
            <w:pPr>
              <w:jc w:val="right"/>
              <w:rPr>
                <w:rFonts w:cstheme="minorHAnsi"/>
                <w:sz w:val="20"/>
                <w:szCs w:val="20"/>
              </w:rPr>
            </w:pPr>
            <w:r w:rsidRPr="003111DA">
              <w:rPr>
                <w:rFonts w:cstheme="minorHAnsi"/>
                <w:sz w:val="20"/>
                <w:szCs w:val="20"/>
              </w:rPr>
              <w:t>32,396</w:t>
            </w:r>
          </w:p>
        </w:tc>
      </w:tr>
      <w:tr w:rsidR="00034AF2" w:rsidRPr="003111DA" w14:paraId="5F8989B9" w14:textId="77777777" w:rsidTr="00034AF2">
        <w:trPr>
          <w:trHeight w:val="230"/>
        </w:trPr>
        <w:tc>
          <w:tcPr>
            <w:tcW w:w="1600" w:type="dxa"/>
            <w:noWrap/>
            <w:hideMark/>
          </w:tcPr>
          <w:p w14:paraId="140F03A6" w14:textId="77777777" w:rsidR="00034AF2" w:rsidRPr="003111DA" w:rsidRDefault="00034AF2" w:rsidP="00034AF2">
            <w:pPr>
              <w:rPr>
                <w:rFonts w:cstheme="minorHAnsi"/>
                <w:sz w:val="20"/>
                <w:szCs w:val="20"/>
              </w:rPr>
            </w:pPr>
            <w:r w:rsidRPr="003111DA">
              <w:rPr>
                <w:rFonts w:cstheme="minorHAnsi"/>
                <w:sz w:val="20"/>
                <w:szCs w:val="20"/>
              </w:rPr>
              <w:t>2020</w:t>
            </w:r>
          </w:p>
        </w:tc>
        <w:tc>
          <w:tcPr>
            <w:tcW w:w="1600" w:type="dxa"/>
            <w:noWrap/>
            <w:hideMark/>
          </w:tcPr>
          <w:p w14:paraId="1F0BB2A6" w14:textId="1E2BEB5A" w:rsidR="00034AF2" w:rsidRPr="003111DA" w:rsidRDefault="00034AF2" w:rsidP="00F47366">
            <w:pPr>
              <w:jc w:val="right"/>
              <w:rPr>
                <w:rFonts w:cstheme="minorHAnsi"/>
                <w:sz w:val="20"/>
                <w:szCs w:val="20"/>
              </w:rPr>
            </w:pPr>
            <w:r w:rsidRPr="003111DA">
              <w:rPr>
                <w:rFonts w:cstheme="minorHAnsi"/>
                <w:sz w:val="20"/>
                <w:szCs w:val="20"/>
              </w:rPr>
              <w:t>38,354</w:t>
            </w:r>
          </w:p>
        </w:tc>
        <w:tc>
          <w:tcPr>
            <w:tcW w:w="1331" w:type="dxa"/>
            <w:noWrap/>
            <w:hideMark/>
          </w:tcPr>
          <w:p w14:paraId="1ED15EC0" w14:textId="4CCD6D53" w:rsidR="00034AF2" w:rsidRPr="003111DA" w:rsidRDefault="00034AF2" w:rsidP="00F47366">
            <w:pPr>
              <w:jc w:val="right"/>
              <w:rPr>
                <w:rFonts w:cstheme="minorHAnsi"/>
                <w:sz w:val="20"/>
                <w:szCs w:val="20"/>
              </w:rPr>
            </w:pPr>
            <w:r w:rsidRPr="003111DA">
              <w:rPr>
                <w:rFonts w:cstheme="minorHAnsi"/>
                <w:sz w:val="20"/>
                <w:szCs w:val="20"/>
              </w:rPr>
              <w:t>n/a</w:t>
            </w:r>
          </w:p>
        </w:tc>
        <w:tc>
          <w:tcPr>
            <w:tcW w:w="1615" w:type="dxa"/>
            <w:noWrap/>
            <w:hideMark/>
          </w:tcPr>
          <w:p w14:paraId="612CBA6C" w14:textId="7C1911AB" w:rsidR="00034AF2" w:rsidRPr="003111DA" w:rsidRDefault="00034AF2" w:rsidP="00F47366">
            <w:pPr>
              <w:jc w:val="right"/>
              <w:rPr>
                <w:rFonts w:cstheme="minorHAnsi"/>
                <w:sz w:val="20"/>
                <w:szCs w:val="20"/>
              </w:rPr>
            </w:pPr>
            <w:r w:rsidRPr="003111DA">
              <w:rPr>
                <w:rFonts w:cstheme="minorHAnsi"/>
                <w:sz w:val="20"/>
                <w:szCs w:val="20"/>
              </w:rPr>
              <w:t>2,683</w:t>
            </w:r>
          </w:p>
        </w:tc>
        <w:tc>
          <w:tcPr>
            <w:tcW w:w="2354" w:type="dxa"/>
            <w:noWrap/>
            <w:hideMark/>
          </w:tcPr>
          <w:p w14:paraId="0BF8B6CD" w14:textId="54563850" w:rsidR="00034AF2" w:rsidRPr="003111DA" w:rsidRDefault="00034AF2" w:rsidP="00F47366">
            <w:pPr>
              <w:jc w:val="right"/>
              <w:rPr>
                <w:rFonts w:cstheme="minorHAnsi"/>
                <w:sz w:val="20"/>
                <w:szCs w:val="20"/>
              </w:rPr>
            </w:pPr>
            <w:r w:rsidRPr="003111DA">
              <w:rPr>
                <w:rFonts w:cstheme="minorHAnsi"/>
                <w:sz w:val="20"/>
                <w:szCs w:val="20"/>
              </w:rPr>
              <w:t>35,672</w:t>
            </w:r>
          </w:p>
        </w:tc>
      </w:tr>
    </w:tbl>
    <w:p w14:paraId="1FA01FD8" w14:textId="77777777" w:rsidR="005720D3" w:rsidRPr="008370DE" w:rsidRDefault="00F00CAE" w:rsidP="005720D3">
      <w:pPr>
        <w:spacing w:after="0" w:line="240" w:lineRule="auto"/>
        <w:rPr>
          <w:sz w:val="20"/>
          <w:szCs w:val="20"/>
        </w:rPr>
      </w:pPr>
      <w:r w:rsidRPr="008370DE">
        <w:rPr>
          <w:b/>
          <w:bCs/>
          <w:sz w:val="20"/>
          <w:szCs w:val="20"/>
        </w:rPr>
        <w:t>Note:</w:t>
      </w:r>
      <w:r w:rsidRPr="008370DE">
        <w:rPr>
          <w:sz w:val="20"/>
          <w:szCs w:val="20"/>
        </w:rPr>
        <w:t xml:space="preserve"> RY2016 had a negative NPV. </w:t>
      </w:r>
    </w:p>
    <w:p w14:paraId="5B624802" w14:textId="7FD1C7CD" w:rsidR="00605D49" w:rsidRPr="008370DE" w:rsidRDefault="001B734A" w:rsidP="005720D3">
      <w:pPr>
        <w:spacing w:after="0" w:line="240" w:lineRule="auto"/>
        <w:rPr>
          <w:sz w:val="20"/>
          <w:szCs w:val="20"/>
        </w:rPr>
      </w:pPr>
      <w:r w:rsidRPr="008370DE">
        <w:rPr>
          <w:b/>
          <w:bCs/>
          <w:sz w:val="20"/>
          <w:szCs w:val="20"/>
        </w:rPr>
        <w:t xml:space="preserve">Source: </w:t>
      </w:r>
      <w:r w:rsidRPr="008370DE">
        <w:rPr>
          <w:sz w:val="20"/>
          <w:szCs w:val="20"/>
        </w:rPr>
        <w:t>Statistics Canada. </w:t>
      </w:r>
      <w:hyperlink r:id="rId16" w:history="1">
        <w:r w:rsidRPr="008370DE">
          <w:rPr>
            <w:rStyle w:val="Hyperlink"/>
            <w:sz w:val="20"/>
            <w:szCs w:val="20"/>
          </w:rPr>
          <w:t>Table 38-10-0006-</w:t>
        </w:r>
        <w:r w:rsidR="003111DA" w:rsidRPr="008370DE">
          <w:rPr>
            <w:rStyle w:val="Hyperlink"/>
            <w:sz w:val="20"/>
            <w:szCs w:val="20"/>
          </w:rPr>
          <w:t>01 Value</w:t>
        </w:r>
        <w:r w:rsidRPr="008370DE">
          <w:rPr>
            <w:rStyle w:val="Hyperlink"/>
            <w:sz w:val="20"/>
            <w:szCs w:val="20"/>
          </w:rPr>
          <w:t xml:space="preserve"> of selected natural resource reserves (x 1,000,000)</w:t>
        </w:r>
      </w:hyperlink>
      <w:r w:rsidR="005720D3" w:rsidRPr="008370DE">
        <w:rPr>
          <w:sz w:val="20"/>
          <w:szCs w:val="20"/>
        </w:rPr>
        <w:t>.</w:t>
      </w:r>
      <w:r w:rsidRPr="008370DE">
        <w:rPr>
          <w:b/>
          <w:bCs/>
          <w:sz w:val="20"/>
          <w:szCs w:val="20"/>
        </w:rPr>
        <w:t> </w:t>
      </w:r>
      <w:r w:rsidRPr="008370DE">
        <w:rPr>
          <w:sz w:val="20"/>
          <w:szCs w:val="20"/>
        </w:rPr>
        <w:t xml:space="preserve"> </w:t>
      </w:r>
    </w:p>
    <w:p w14:paraId="55A29776" w14:textId="77777777" w:rsidR="004E50B8" w:rsidRDefault="004E50B8" w:rsidP="003111DA">
      <w:pPr>
        <w:spacing w:after="0" w:line="240" w:lineRule="auto"/>
        <w:rPr>
          <w:b/>
          <w:bCs/>
          <w:sz w:val="20"/>
          <w:szCs w:val="20"/>
        </w:rPr>
      </w:pPr>
    </w:p>
    <w:p w14:paraId="23425FE5" w14:textId="3CBDBA58" w:rsidR="003111DA" w:rsidRPr="008370DE" w:rsidRDefault="00D33EDC" w:rsidP="003111DA">
      <w:pPr>
        <w:spacing w:after="0" w:line="240" w:lineRule="auto"/>
        <w:rPr>
          <w:b/>
          <w:bCs/>
          <w:sz w:val="20"/>
          <w:szCs w:val="20"/>
        </w:rPr>
      </w:pPr>
      <w:r w:rsidRPr="008370DE">
        <w:rPr>
          <w:b/>
          <w:bCs/>
          <w:sz w:val="20"/>
          <w:szCs w:val="20"/>
        </w:rPr>
        <w:t xml:space="preserve">Table </w:t>
      </w:r>
      <w:r w:rsidR="00CE0B1D" w:rsidRPr="008370DE">
        <w:rPr>
          <w:b/>
          <w:bCs/>
          <w:sz w:val="20"/>
          <w:szCs w:val="20"/>
        </w:rPr>
        <w:t>6</w:t>
      </w:r>
    </w:p>
    <w:p w14:paraId="75EB27D2" w14:textId="0B71F527" w:rsidR="00D33EDC" w:rsidRPr="008370DE" w:rsidRDefault="000709ED" w:rsidP="003111DA">
      <w:pPr>
        <w:spacing w:after="0" w:line="240" w:lineRule="auto"/>
        <w:rPr>
          <w:b/>
          <w:bCs/>
          <w:sz w:val="20"/>
          <w:szCs w:val="20"/>
        </w:rPr>
      </w:pPr>
      <w:r w:rsidRPr="008370DE">
        <w:rPr>
          <w:b/>
          <w:bCs/>
          <w:sz w:val="20"/>
          <w:szCs w:val="20"/>
        </w:rPr>
        <w:t>Percent share of ownership (royalty rates), by economic owners, using StatCan data, 2010 to 2020</w:t>
      </w:r>
    </w:p>
    <w:tbl>
      <w:tblPr>
        <w:tblStyle w:val="TableGrid"/>
        <w:tblW w:w="0" w:type="auto"/>
        <w:tblLook w:val="04A0" w:firstRow="1" w:lastRow="0" w:firstColumn="1" w:lastColumn="0" w:noHBand="0" w:noVBand="1"/>
      </w:tblPr>
      <w:tblGrid>
        <w:gridCol w:w="2120"/>
        <w:gridCol w:w="1248"/>
        <w:gridCol w:w="1955"/>
        <w:gridCol w:w="1637"/>
      </w:tblGrid>
      <w:tr w:rsidR="00A4790B" w:rsidRPr="003111DA" w14:paraId="688DACA1" w14:textId="77777777" w:rsidTr="00A4790B">
        <w:trPr>
          <w:trHeight w:val="422"/>
        </w:trPr>
        <w:tc>
          <w:tcPr>
            <w:tcW w:w="2120" w:type="dxa"/>
            <w:noWrap/>
            <w:hideMark/>
          </w:tcPr>
          <w:p w14:paraId="11B35248" w14:textId="77777777" w:rsidR="00A4790B" w:rsidRPr="003111DA" w:rsidRDefault="00A4790B" w:rsidP="00A4790B">
            <w:pPr>
              <w:rPr>
                <w:rFonts w:cstheme="minorHAnsi"/>
                <w:b/>
                <w:bCs/>
                <w:sz w:val="20"/>
                <w:szCs w:val="20"/>
              </w:rPr>
            </w:pPr>
            <w:r w:rsidRPr="003111DA">
              <w:rPr>
                <w:rFonts w:cstheme="minorHAnsi"/>
                <w:b/>
                <w:bCs/>
                <w:sz w:val="20"/>
                <w:szCs w:val="20"/>
              </w:rPr>
              <w:t> </w:t>
            </w:r>
          </w:p>
        </w:tc>
        <w:tc>
          <w:tcPr>
            <w:tcW w:w="4640" w:type="dxa"/>
            <w:gridSpan w:val="3"/>
            <w:hideMark/>
          </w:tcPr>
          <w:p w14:paraId="7CA46490" w14:textId="77777777" w:rsidR="00A4790B" w:rsidRPr="003111DA" w:rsidRDefault="00A4790B" w:rsidP="00A4790B">
            <w:pPr>
              <w:jc w:val="center"/>
              <w:rPr>
                <w:rFonts w:cstheme="minorHAnsi"/>
                <w:b/>
                <w:bCs/>
                <w:sz w:val="20"/>
                <w:szCs w:val="20"/>
              </w:rPr>
            </w:pPr>
          </w:p>
          <w:p w14:paraId="12CD25B4" w14:textId="4A48BDA4" w:rsidR="00A4790B" w:rsidRPr="003111DA" w:rsidRDefault="00A4790B" w:rsidP="00A4790B">
            <w:pPr>
              <w:jc w:val="center"/>
              <w:rPr>
                <w:rFonts w:cstheme="minorHAnsi"/>
                <w:b/>
                <w:bCs/>
                <w:sz w:val="20"/>
                <w:szCs w:val="20"/>
              </w:rPr>
            </w:pPr>
            <w:r w:rsidRPr="003111DA">
              <w:rPr>
                <w:rFonts w:cstheme="minorHAnsi"/>
                <w:b/>
                <w:bCs/>
                <w:sz w:val="20"/>
                <w:szCs w:val="20"/>
              </w:rPr>
              <w:t xml:space="preserve">Royalty </w:t>
            </w:r>
            <w:r w:rsidR="00176FC5">
              <w:rPr>
                <w:rFonts w:cstheme="minorHAnsi"/>
                <w:b/>
                <w:bCs/>
                <w:sz w:val="20"/>
                <w:szCs w:val="20"/>
              </w:rPr>
              <w:t>r</w:t>
            </w:r>
            <w:r w:rsidRPr="003111DA">
              <w:rPr>
                <w:rFonts w:cstheme="minorHAnsi"/>
                <w:b/>
                <w:bCs/>
                <w:sz w:val="20"/>
                <w:szCs w:val="20"/>
              </w:rPr>
              <w:t>ate</w:t>
            </w:r>
          </w:p>
          <w:p w14:paraId="276854E5" w14:textId="5C387319" w:rsidR="00A4790B" w:rsidRPr="003111DA" w:rsidRDefault="00A4790B" w:rsidP="00A4790B">
            <w:pPr>
              <w:jc w:val="center"/>
              <w:rPr>
                <w:rFonts w:cstheme="minorHAnsi"/>
                <w:b/>
                <w:bCs/>
                <w:sz w:val="20"/>
                <w:szCs w:val="20"/>
              </w:rPr>
            </w:pPr>
          </w:p>
        </w:tc>
      </w:tr>
      <w:tr w:rsidR="00A4790B" w:rsidRPr="003111DA" w14:paraId="27B88268" w14:textId="77777777" w:rsidTr="00A4790B">
        <w:trPr>
          <w:trHeight w:val="260"/>
        </w:trPr>
        <w:tc>
          <w:tcPr>
            <w:tcW w:w="2120" w:type="dxa"/>
            <w:noWrap/>
            <w:hideMark/>
          </w:tcPr>
          <w:p w14:paraId="1E249BB8" w14:textId="77777777" w:rsidR="00A4790B" w:rsidRPr="003111DA" w:rsidRDefault="00A4790B" w:rsidP="00A4790B">
            <w:pPr>
              <w:rPr>
                <w:rFonts w:cstheme="minorHAnsi"/>
                <w:b/>
                <w:bCs/>
                <w:sz w:val="20"/>
                <w:szCs w:val="20"/>
              </w:rPr>
            </w:pPr>
            <w:r w:rsidRPr="003111DA">
              <w:rPr>
                <w:rFonts w:cstheme="minorHAnsi"/>
                <w:b/>
                <w:bCs/>
                <w:sz w:val="20"/>
                <w:szCs w:val="20"/>
              </w:rPr>
              <w:t> </w:t>
            </w:r>
          </w:p>
        </w:tc>
        <w:tc>
          <w:tcPr>
            <w:tcW w:w="1248" w:type="dxa"/>
            <w:noWrap/>
            <w:hideMark/>
          </w:tcPr>
          <w:p w14:paraId="7D76A5A7" w14:textId="77777777" w:rsidR="00A4790B" w:rsidRPr="003111DA" w:rsidRDefault="00A4790B" w:rsidP="003111DA">
            <w:pPr>
              <w:jc w:val="right"/>
              <w:rPr>
                <w:rFonts w:cstheme="minorHAnsi"/>
                <w:b/>
                <w:bCs/>
                <w:sz w:val="20"/>
                <w:szCs w:val="20"/>
              </w:rPr>
            </w:pPr>
            <w:r w:rsidRPr="003111DA">
              <w:rPr>
                <w:rFonts w:cstheme="minorHAnsi"/>
                <w:b/>
                <w:bCs/>
                <w:sz w:val="20"/>
                <w:szCs w:val="20"/>
              </w:rPr>
              <w:t>Federal</w:t>
            </w:r>
          </w:p>
        </w:tc>
        <w:tc>
          <w:tcPr>
            <w:tcW w:w="1755" w:type="dxa"/>
            <w:noWrap/>
            <w:hideMark/>
          </w:tcPr>
          <w:p w14:paraId="4BBDE044" w14:textId="6B96F1E8" w:rsidR="00A4790B" w:rsidRPr="003111DA" w:rsidRDefault="001A13B9" w:rsidP="003111DA">
            <w:pPr>
              <w:jc w:val="right"/>
              <w:rPr>
                <w:rFonts w:cstheme="minorHAnsi"/>
                <w:b/>
                <w:bCs/>
                <w:sz w:val="20"/>
                <w:szCs w:val="20"/>
              </w:rPr>
            </w:pPr>
            <w:r w:rsidRPr="006357BC">
              <w:rPr>
                <w:rFonts w:eastAsia="Times New Roman" w:cstheme="minorHAnsi"/>
                <w:b/>
                <w:bCs/>
                <w:color w:val="000000"/>
                <w:sz w:val="20"/>
                <w:szCs w:val="20"/>
                <w:lang w:eastAsia="en-CA"/>
              </w:rPr>
              <w:t>Provincial/Territorial</w:t>
            </w:r>
          </w:p>
        </w:tc>
        <w:tc>
          <w:tcPr>
            <w:tcW w:w="1637" w:type="dxa"/>
            <w:noWrap/>
            <w:hideMark/>
          </w:tcPr>
          <w:p w14:paraId="4E51806C" w14:textId="687A33D7" w:rsidR="00A4790B" w:rsidRPr="003111DA" w:rsidRDefault="00A4790B" w:rsidP="003111DA">
            <w:pPr>
              <w:jc w:val="right"/>
              <w:rPr>
                <w:rFonts w:cstheme="minorHAnsi"/>
                <w:b/>
                <w:bCs/>
                <w:sz w:val="20"/>
                <w:szCs w:val="20"/>
              </w:rPr>
            </w:pPr>
            <w:r w:rsidRPr="003111DA">
              <w:rPr>
                <w:rFonts w:cstheme="minorHAnsi"/>
                <w:b/>
                <w:bCs/>
                <w:sz w:val="20"/>
                <w:szCs w:val="20"/>
              </w:rPr>
              <w:t>Corporat</w:t>
            </w:r>
            <w:r w:rsidR="00D94E46">
              <w:rPr>
                <w:rFonts w:cstheme="minorHAnsi"/>
                <w:b/>
                <w:bCs/>
                <w:sz w:val="20"/>
                <w:szCs w:val="20"/>
              </w:rPr>
              <w:t>ion</w:t>
            </w:r>
          </w:p>
        </w:tc>
      </w:tr>
      <w:tr w:rsidR="006357BC" w:rsidRPr="003111DA" w14:paraId="29A72F73" w14:textId="77777777" w:rsidTr="001C48AD">
        <w:trPr>
          <w:trHeight w:val="260"/>
        </w:trPr>
        <w:tc>
          <w:tcPr>
            <w:tcW w:w="2120" w:type="dxa"/>
            <w:noWrap/>
          </w:tcPr>
          <w:p w14:paraId="34086C57" w14:textId="77777777" w:rsidR="006357BC" w:rsidRPr="003111DA" w:rsidRDefault="006357BC" w:rsidP="00A4790B">
            <w:pPr>
              <w:rPr>
                <w:rFonts w:cstheme="minorHAnsi"/>
                <w:b/>
                <w:bCs/>
                <w:sz w:val="20"/>
                <w:szCs w:val="20"/>
              </w:rPr>
            </w:pPr>
          </w:p>
        </w:tc>
        <w:tc>
          <w:tcPr>
            <w:tcW w:w="4640" w:type="dxa"/>
            <w:gridSpan w:val="3"/>
            <w:noWrap/>
          </w:tcPr>
          <w:p w14:paraId="03BDF686" w14:textId="438CBCC2" w:rsidR="006357BC" w:rsidRPr="006357BC" w:rsidRDefault="006357BC" w:rsidP="00E30758">
            <w:pPr>
              <w:jc w:val="center"/>
              <w:rPr>
                <w:rFonts w:cstheme="minorHAnsi"/>
                <w:sz w:val="20"/>
                <w:szCs w:val="20"/>
              </w:rPr>
            </w:pPr>
            <w:r w:rsidRPr="006357BC">
              <w:rPr>
                <w:rFonts w:cstheme="minorHAnsi"/>
                <w:sz w:val="20"/>
                <w:szCs w:val="20"/>
              </w:rPr>
              <w:t>percent</w:t>
            </w:r>
          </w:p>
        </w:tc>
      </w:tr>
      <w:tr w:rsidR="00A4790B" w:rsidRPr="003111DA" w14:paraId="7A398CEB" w14:textId="77777777" w:rsidTr="00A4790B">
        <w:trPr>
          <w:trHeight w:val="260"/>
        </w:trPr>
        <w:tc>
          <w:tcPr>
            <w:tcW w:w="2120" w:type="dxa"/>
            <w:noWrap/>
            <w:hideMark/>
          </w:tcPr>
          <w:p w14:paraId="6C6F9B15" w14:textId="77777777" w:rsidR="00A4790B" w:rsidRPr="003111DA" w:rsidRDefault="00A4790B" w:rsidP="00A4790B">
            <w:pPr>
              <w:rPr>
                <w:rFonts w:cstheme="minorHAnsi"/>
                <w:sz w:val="20"/>
                <w:szCs w:val="20"/>
              </w:rPr>
            </w:pPr>
            <w:r w:rsidRPr="003111DA">
              <w:rPr>
                <w:rFonts w:cstheme="minorHAnsi"/>
                <w:sz w:val="20"/>
                <w:szCs w:val="20"/>
              </w:rPr>
              <w:t>2010</w:t>
            </w:r>
          </w:p>
        </w:tc>
        <w:tc>
          <w:tcPr>
            <w:tcW w:w="1248" w:type="dxa"/>
            <w:noWrap/>
            <w:hideMark/>
          </w:tcPr>
          <w:p w14:paraId="109D6387" w14:textId="49973489" w:rsidR="00A4790B" w:rsidRPr="003111DA" w:rsidRDefault="00A4790B" w:rsidP="003111DA">
            <w:pPr>
              <w:jc w:val="right"/>
              <w:rPr>
                <w:rFonts w:cstheme="minorHAnsi"/>
                <w:sz w:val="20"/>
                <w:szCs w:val="20"/>
              </w:rPr>
            </w:pPr>
            <w:r w:rsidRPr="003111DA">
              <w:rPr>
                <w:rFonts w:cstheme="minorHAnsi"/>
                <w:sz w:val="20"/>
                <w:szCs w:val="20"/>
              </w:rPr>
              <w:t>0</w:t>
            </w:r>
            <w:r w:rsidR="008039C4" w:rsidRPr="003111DA">
              <w:rPr>
                <w:rFonts w:cstheme="minorHAnsi"/>
                <w:sz w:val="20"/>
                <w:szCs w:val="20"/>
              </w:rPr>
              <w:t>%</w:t>
            </w:r>
          </w:p>
        </w:tc>
        <w:tc>
          <w:tcPr>
            <w:tcW w:w="1755" w:type="dxa"/>
            <w:noWrap/>
            <w:hideMark/>
          </w:tcPr>
          <w:p w14:paraId="00FFDEEE" w14:textId="77777777" w:rsidR="00A4790B" w:rsidRPr="003111DA" w:rsidRDefault="00A4790B" w:rsidP="003111DA">
            <w:pPr>
              <w:jc w:val="right"/>
              <w:rPr>
                <w:rFonts w:cstheme="minorHAnsi"/>
                <w:sz w:val="20"/>
                <w:szCs w:val="20"/>
              </w:rPr>
            </w:pPr>
            <w:r w:rsidRPr="003111DA">
              <w:rPr>
                <w:rFonts w:cstheme="minorHAnsi"/>
                <w:sz w:val="20"/>
                <w:szCs w:val="20"/>
              </w:rPr>
              <w:t>3%</w:t>
            </w:r>
          </w:p>
        </w:tc>
        <w:tc>
          <w:tcPr>
            <w:tcW w:w="1637" w:type="dxa"/>
            <w:noWrap/>
            <w:hideMark/>
          </w:tcPr>
          <w:p w14:paraId="7317FC5E" w14:textId="77777777" w:rsidR="00A4790B" w:rsidRPr="003111DA" w:rsidRDefault="00A4790B" w:rsidP="003111DA">
            <w:pPr>
              <w:jc w:val="right"/>
              <w:rPr>
                <w:rFonts w:cstheme="minorHAnsi"/>
                <w:sz w:val="20"/>
                <w:szCs w:val="20"/>
              </w:rPr>
            </w:pPr>
            <w:r w:rsidRPr="003111DA">
              <w:rPr>
                <w:rFonts w:cstheme="minorHAnsi"/>
                <w:sz w:val="20"/>
                <w:szCs w:val="20"/>
              </w:rPr>
              <w:t>97%</w:t>
            </w:r>
          </w:p>
        </w:tc>
      </w:tr>
      <w:tr w:rsidR="008039C4" w:rsidRPr="003111DA" w14:paraId="2F8D517B" w14:textId="77777777" w:rsidTr="00A4790B">
        <w:trPr>
          <w:trHeight w:val="250"/>
        </w:trPr>
        <w:tc>
          <w:tcPr>
            <w:tcW w:w="2120" w:type="dxa"/>
            <w:noWrap/>
            <w:hideMark/>
          </w:tcPr>
          <w:p w14:paraId="0CE018F9" w14:textId="77777777" w:rsidR="008039C4" w:rsidRPr="003111DA" w:rsidRDefault="008039C4" w:rsidP="008039C4">
            <w:pPr>
              <w:rPr>
                <w:rFonts w:cstheme="minorHAnsi"/>
                <w:sz w:val="20"/>
                <w:szCs w:val="20"/>
              </w:rPr>
            </w:pPr>
            <w:r w:rsidRPr="003111DA">
              <w:rPr>
                <w:rFonts w:cstheme="minorHAnsi"/>
                <w:sz w:val="20"/>
                <w:szCs w:val="20"/>
              </w:rPr>
              <w:t>2011</w:t>
            </w:r>
          </w:p>
        </w:tc>
        <w:tc>
          <w:tcPr>
            <w:tcW w:w="1248" w:type="dxa"/>
            <w:noWrap/>
            <w:hideMark/>
          </w:tcPr>
          <w:p w14:paraId="0C2AB6D7" w14:textId="16E29AD4"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5DB51A4A" w14:textId="77777777" w:rsidR="008039C4" w:rsidRPr="003111DA" w:rsidRDefault="008039C4" w:rsidP="003111DA">
            <w:pPr>
              <w:jc w:val="right"/>
              <w:rPr>
                <w:rFonts w:cstheme="minorHAnsi"/>
                <w:sz w:val="20"/>
                <w:szCs w:val="20"/>
              </w:rPr>
            </w:pPr>
            <w:r w:rsidRPr="003111DA">
              <w:rPr>
                <w:rFonts w:cstheme="minorHAnsi"/>
                <w:sz w:val="20"/>
                <w:szCs w:val="20"/>
              </w:rPr>
              <w:t>3%</w:t>
            </w:r>
          </w:p>
        </w:tc>
        <w:tc>
          <w:tcPr>
            <w:tcW w:w="1637" w:type="dxa"/>
            <w:noWrap/>
            <w:hideMark/>
          </w:tcPr>
          <w:p w14:paraId="07BE6DF7" w14:textId="77777777" w:rsidR="008039C4" w:rsidRPr="003111DA" w:rsidRDefault="008039C4" w:rsidP="003111DA">
            <w:pPr>
              <w:jc w:val="right"/>
              <w:rPr>
                <w:rFonts w:cstheme="minorHAnsi"/>
                <w:sz w:val="20"/>
                <w:szCs w:val="20"/>
              </w:rPr>
            </w:pPr>
            <w:r w:rsidRPr="003111DA">
              <w:rPr>
                <w:rFonts w:cstheme="minorHAnsi"/>
                <w:sz w:val="20"/>
                <w:szCs w:val="20"/>
              </w:rPr>
              <w:t>97%</w:t>
            </w:r>
          </w:p>
        </w:tc>
      </w:tr>
      <w:tr w:rsidR="008039C4" w:rsidRPr="003111DA" w14:paraId="71E6937A" w14:textId="77777777" w:rsidTr="00A4790B">
        <w:trPr>
          <w:trHeight w:val="230"/>
        </w:trPr>
        <w:tc>
          <w:tcPr>
            <w:tcW w:w="2120" w:type="dxa"/>
            <w:noWrap/>
            <w:hideMark/>
          </w:tcPr>
          <w:p w14:paraId="5B7BB0BA" w14:textId="77777777" w:rsidR="008039C4" w:rsidRPr="003111DA" w:rsidRDefault="008039C4" w:rsidP="008039C4">
            <w:pPr>
              <w:rPr>
                <w:rFonts w:cstheme="minorHAnsi"/>
                <w:sz w:val="20"/>
                <w:szCs w:val="20"/>
              </w:rPr>
            </w:pPr>
            <w:r w:rsidRPr="003111DA">
              <w:rPr>
                <w:rFonts w:cstheme="minorHAnsi"/>
                <w:sz w:val="20"/>
                <w:szCs w:val="20"/>
              </w:rPr>
              <w:t>2012</w:t>
            </w:r>
          </w:p>
        </w:tc>
        <w:tc>
          <w:tcPr>
            <w:tcW w:w="1248" w:type="dxa"/>
            <w:noWrap/>
            <w:hideMark/>
          </w:tcPr>
          <w:p w14:paraId="3337AFA1" w14:textId="3CABC158"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7A598814" w14:textId="77777777" w:rsidR="008039C4" w:rsidRPr="003111DA" w:rsidRDefault="008039C4" w:rsidP="003111DA">
            <w:pPr>
              <w:jc w:val="right"/>
              <w:rPr>
                <w:rFonts w:cstheme="minorHAnsi"/>
                <w:sz w:val="20"/>
                <w:szCs w:val="20"/>
              </w:rPr>
            </w:pPr>
            <w:r w:rsidRPr="003111DA">
              <w:rPr>
                <w:rFonts w:cstheme="minorHAnsi"/>
                <w:sz w:val="20"/>
                <w:szCs w:val="20"/>
              </w:rPr>
              <w:t>3%</w:t>
            </w:r>
          </w:p>
        </w:tc>
        <w:tc>
          <w:tcPr>
            <w:tcW w:w="1637" w:type="dxa"/>
            <w:noWrap/>
            <w:hideMark/>
          </w:tcPr>
          <w:p w14:paraId="57C66A3D" w14:textId="77777777" w:rsidR="008039C4" w:rsidRPr="003111DA" w:rsidRDefault="008039C4" w:rsidP="003111DA">
            <w:pPr>
              <w:jc w:val="right"/>
              <w:rPr>
                <w:rFonts w:cstheme="minorHAnsi"/>
                <w:sz w:val="20"/>
                <w:szCs w:val="20"/>
              </w:rPr>
            </w:pPr>
            <w:r w:rsidRPr="003111DA">
              <w:rPr>
                <w:rFonts w:cstheme="minorHAnsi"/>
                <w:sz w:val="20"/>
                <w:szCs w:val="20"/>
              </w:rPr>
              <w:t>97%</w:t>
            </w:r>
          </w:p>
        </w:tc>
      </w:tr>
      <w:tr w:rsidR="008039C4" w:rsidRPr="003111DA" w14:paraId="243AC8E7" w14:textId="77777777" w:rsidTr="00A4790B">
        <w:trPr>
          <w:trHeight w:val="230"/>
        </w:trPr>
        <w:tc>
          <w:tcPr>
            <w:tcW w:w="2120" w:type="dxa"/>
            <w:noWrap/>
            <w:hideMark/>
          </w:tcPr>
          <w:p w14:paraId="35B4B00C" w14:textId="77777777" w:rsidR="008039C4" w:rsidRPr="003111DA" w:rsidRDefault="008039C4" w:rsidP="008039C4">
            <w:pPr>
              <w:rPr>
                <w:rFonts w:cstheme="minorHAnsi"/>
                <w:sz w:val="20"/>
                <w:szCs w:val="20"/>
              </w:rPr>
            </w:pPr>
            <w:r w:rsidRPr="003111DA">
              <w:rPr>
                <w:rFonts w:cstheme="minorHAnsi"/>
                <w:sz w:val="20"/>
                <w:szCs w:val="20"/>
              </w:rPr>
              <w:t>2013</w:t>
            </w:r>
          </w:p>
        </w:tc>
        <w:tc>
          <w:tcPr>
            <w:tcW w:w="1248" w:type="dxa"/>
            <w:noWrap/>
            <w:hideMark/>
          </w:tcPr>
          <w:p w14:paraId="6FD29898" w14:textId="3F90ED68"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7D34F00F" w14:textId="77777777" w:rsidR="008039C4" w:rsidRPr="003111DA" w:rsidRDefault="008039C4" w:rsidP="003111DA">
            <w:pPr>
              <w:jc w:val="right"/>
              <w:rPr>
                <w:rFonts w:cstheme="minorHAnsi"/>
                <w:sz w:val="20"/>
                <w:szCs w:val="20"/>
              </w:rPr>
            </w:pPr>
            <w:r w:rsidRPr="003111DA">
              <w:rPr>
                <w:rFonts w:cstheme="minorHAnsi"/>
                <w:sz w:val="20"/>
                <w:szCs w:val="20"/>
              </w:rPr>
              <w:t>4%</w:t>
            </w:r>
          </w:p>
        </w:tc>
        <w:tc>
          <w:tcPr>
            <w:tcW w:w="1637" w:type="dxa"/>
            <w:noWrap/>
            <w:hideMark/>
          </w:tcPr>
          <w:p w14:paraId="72EA5E91" w14:textId="77777777" w:rsidR="008039C4" w:rsidRPr="003111DA" w:rsidRDefault="008039C4" w:rsidP="003111DA">
            <w:pPr>
              <w:jc w:val="right"/>
              <w:rPr>
                <w:rFonts w:cstheme="minorHAnsi"/>
                <w:sz w:val="20"/>
                <w:szCs w:val="20"/>
              </w:rPr>
            </w:pPr>
            <w:r w:rsidRPr="003111DA">
              <w:rPr>
                <w:rFonts w:cstheme="minorHAnsi"/>
                <w:sz w:val="20"/>
                <w:szCs w:val="20"/>
              </w:rPr>
              <w:t>96%</w:t>
            </w:r>
          </w:p>
        </w:tc>
      </w:tr>
      <w:tr w:rsidR="008039C4" w:rsidRPr="003111DA" w14:paraId="024B6A66" w14:textId="77777777" w:rsidTr="00A4790B">
        <w:trPr>
          <w:trHeight w:val="230"/>
        </w:trPr>
        <w:tc>
          <w:tcPr>
            <w:tcW w:w="2120" w:type="dxa"/>
            <w:noWrap/>
            <w:hideMark/>
          </w:tcPr>
          <w:p w14:paraId="7E3A12DE" w14:textId="77777777" w:rsidR="008039C4" w:rsidRPr="003111DA" w:rsidRDefault="008039C4" w:rsidP="008039C4">
            <w:pPr>
              <w:rPr>
                <w:rFonts w:cstheme="minorHAnsi"/>
                <w:sz w:val="20"/>
                <w:szCs w:val="20"/>
              </w:rPr>
            </w:pPr>
            <w:r w:rsidRPr="003111DA">
              <w:rPr>
                <w:rFonts w:cstheme="minorHAnsi"/>
                <w:sz w:val="20"/>
                <w:szCs w:val="20"/>
              </w:rPr>
              <w:t>2014</w:t>
            </w:r>
          </w:p>
        </w:tc>
        <w:tc>
          <w:tcPr>
            <w:tcW w:w="1248" w:type="dxa"/>
            <w:noWrap/>
            <w:hideMark/>
          </w:tcPr>
          <w:p w14:paraId="14F2BD65" w14:textId="68290842"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3F589126" w14:textId="77777777" w:rsidR="008039C4" w:rsidRPr="003111DA" w:rsidRDefault="008039C4" w:rsidP="003111DA">
            <w:pPr>
              <w:jc w:val="right"/>
              <w:rPr>
                <w:rFonts w:cstheme="minorHAnsi"/>
                <w:sz w:val="20"/>
                <w:szCs w:val="20"/>
              </w:rPr>
            </w:pPr>
            <w:r w:rsidRPr="003111DA">
              <w:rPr>
                <w:rFonts w:cstheme="minorHAnsi"/>
                <w:sz w:val="20"/>
                <w:szCs w:val="20"/>
              </w:rPr>
              <w:t>5%</w:t>
            </w:r>
          </w:p>
        </w:tc>
        <w:tc>
          <w:tcPr>
            <w:tcW w:w="1637" w:type="dxa"/>
            <w:noWrap/>
            <w:hideMark/>
          </w:tcPr>
          <w:p w14:paraId="43C54741" w14:textId="77777777" w:rsidR="008039C4" w:rsidRPr="003111DA" w:rsidRDefault="008039C4" w:rsidP="003111DA">
            <w:pPr>
              <w:jc w:val="right"/>
              <w:rPr>
                <w:rFonts w:cstheme="minorHAnsi"/>
                <w:sz w:val="20"/>
                <w:szCs w:val="20"/>
              </w:rPr>
            </w:pPr>
            <w:r w:rsidRPr="003111DA">
              <w:rPr>
                <w:rFonts w:cstheme="minorHAnsi"/>
                <w:sz w:val="20"/>
                <w:szCs w:val="20"/>
              </w:rPr>
              <w:t>95%</w:t>
            </w:r>
          </w:p>
        </w:tc>
      </w:tr>
      <w:tr w:rsidR="008039C4" w:rsidRPr="003111DA" w14:paraId="7113FAE9" w14:textId="77777777" w:rsidTr="00A4790B">
        <w:trPr>
          <w:trHeight w:val="230"/>
        </w:trPr>
        <w:tc>
          <w:tcPr>
            <w:tcW w:w="2120" w:type="dxa"/>
            <w:noWrap/>
            <w:hideMark/>
          </w:tcPr>
          <w:p w14:paraId="223D801B" w14:textId="77777777" w:rsidR="008039C4" w:rsidRPr="003111DA" w:rsidRDefault="008039C4" w:rsidP="008039C4">
            <w:pPr>
              <w:rPr>
                <w:rFonts w:cstheme="minorHAnsi"/>
                <w:sz w:val="20"/>
                <w:szCs w:val="20"/>
              </w:rPr>
            </w:pPr>
            <w:r w:rsidRPr="003111DA">
              <w:rPr>
                <w:rFonts w:cstheme="minorHAnsi"/>
                <w:sz w:val="20"/>
                <w:szCs w:val="20"/>
              </w:rPr>
              <w:t>2015</w:t>
            </w:r>
          </w:p>
        </w:tc>
        <w:tc>
          <w:tcPr>
            <w:tcW w:w="1248" w:type="dxa"/>
            <w:noWrap/>
            <w:hideMark/>
          </w:tcPr>
          <w:p w14:paraId="2C68565E" w14:textId="6195A6D1"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39C6145D" w14:textId="77777777" w:rsidR="008039C4" w:rsidRPr="003111DA" w:rsidRDefault="008039C4" w:rsidP="003111DA">
            <w:pPr>
              <w:jc w:val="right"/>
              <w:rPr>
                <w:rFonts w:cstheme="minorHAnsi"/>
                <w:sz w:val="20"/>
                <w:szCs w:val="20"/>
              </w:rPr>
            </w:pPr>
            <w:r w:rsidRPr="003111DA">
              <w:rPr>
                <w:rFonts w:cstheme="minorHAnsi"/>
                <w:sz w:val="20"/>
                <w:szCs w:val="20"/>
              </w:rPr>
              <w:t>5%</w:t>
            </w:r>
          </w:p>
        </w:tc>
        <w:tc>
          <w:tcPr>
            <w:tcW w:w="1637" w:type="dxa"/>
            <w:noWrap/>
            <w:hideMark/>
          </w:tcPr>
          <w:p w14:paraId="7F0800CF" w14:textId="77777777" w:rsidR="008039C4" w:rsidRPr="003111DA" w:rsidRDefault="008039C4" w:rsidP="003111DA">
            <w:pPr>
              <w:jc w:val="right"/>
              <w:rPr>
                <w:rFonts w:cstheme="minorHAnsi"/>
                <w:sz w:val="20"/>
                <w:szCs w:val="20"/>
              </w:rPr>
            </w:pPr>
            <w:r w:rsidRPr="003111DA">
              <w:rPr>
                <w:rFonts w:cstheme="minorHAnsi"/>
                <w:sz w:val="20"/>
                <w:szCs w:val="20"/>
              </w:rPr>
              <w:t>95%</w:t>
            </w:r>
          </w:p>
        </w:tc>
      </w:tr>
      <w:tr w:rsidR="008039C4" w:rsidRPr="003111DA" w14:paraId="05DF2A09" w14:textId="77777777" w:rsidTr="00A4790B">
        <w:trPr>
          <w:trHeight w:val="230"/>
        </w:trPr>
        <w:tc>
          <w:tcPr>
            <w:tcW w:w="2120" w:type="dxa"/>
            <w:noWrap/>
            <w:hideMark/>
          </w:tcPr>
          <w:p w14:paraId="268DA446" w14:textId="77777777" w:rsidR="008039C4" w:rsidRPr="003111DA" w:rsidRDefault="008039C4" w:rsidP="008039C4">
            <w:pPr>
              <w:rPr>
                <w:rFonts w:cstheme="minorHAnsi"/>
                <w:sz w:val="20"/>
                <w:szCs w:val="20"/>
              </w:rPr>
            </w:pPr>
            <w:r w:rsidRPr="003111DA">
              <w:rPr>
                <w:rFonts w:cstheme="minorHAnsi"/>
                <w:sz w:val="20"/>
                <w:szCs w:val="20"/>
              </w:rPr>
              <w:t>2016</w:t>
            </w:r>
          </w:p>
        </w:tc>
        <w:tc>
          <w:tcPr>
            <w:tcW w:w="1248" w:type="dxa"/>
            <w:noWrap/>
            <w:hideMark/>
          </w:tcPr>
          <w:p w14:paraId="22E3CD00" w14:textId="7C6BA875"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183C3BFD" w14:textId="54C9C5A9" w:rsidR="008039C4" w:rsidRPr="003111DA" w:rsidRDefault="00B73B61" w:rsidP="003111DA">
            <w:pPr>
              <w:jc w:val="right"/>
              <w:rPr>
                <w:rFonts w:cstheme="minorHAnsi"/>
                <w:sz w:val="20"/>
                <w:szCs w:val="20"/>
              </w:rPr>
            </w:pPr>
            <w:r w:rsidRPr="003111DA">
              <w:rPr>
                <w:rFonts w:cstheme="minorHAnsi"/>
                <w:sz w:val="20"/>
                <w:szCs w:val="20"/>
              </w:rPr>
              <w:t>0%</w:t>
            </w:r>
          </w:p>
        </w:tc>
        <w:tc>
          <w:tcPr>
            <w:tcW w:w="1637" w:type="dxa"/>
            <w:noWrap/>
            <w:hideMark/>
          </w:tcPr>
          <w:p w14:paraId="59D61B38" w14:textId="6B92A7E5" w:rsidR="008039C4" w:rsidRPr="003111DA" w:rsidRDefault="00B73B61" w:rsidP="003111DA">
            <w:pPr>
              <w:jc w:val="right"/>
              <w:rPr>
                <w:rFonts w:cstheme="minorHAnsi"/>
                <w:sz w:val="20"/>
                <w:szCs w:val="20"/>
              </w:rPr>
            </w:pPr>
            <w:r w:rsidRPr="003111DA">
              <w:rPr>
                <w:rFonts w:cstheme="minorHAnsi"/>
                <w:sz w:val="20"/>
                <w:szCs w:val="20"/>
              </w:rPr>
              <w:t>0%</w:t>
            </w:r>
          </w:p>
        </w:tc>
      </w:tr>
      <w:tr w:rsidR="008039C4" w:rsidRPr="003111DA" w14:paraId="61464C7F" w14:textId="77777777" w:rsidTr="00A4790B">
        <w:trPr>
          <w:trHeight w:val="230"/>
        </w:trPr>
        <w:tc>
          <w:tcPr>
            <w:tcW w:w="2120" w:type="dxa"/>
            <w:noWrap/>
            <w:hideMark/>
          </w:tcPr>
          <w:p w14:paraId="5D5C43F4" w14:textId="77777777" w:rsidR="008039C4" w:rsidRPr="003111DA" w:rsidRDefault="008039C4" w:rsidP="008039C4">
            <w:pPr>
              <w:rPr>
                <w:rFonts w:cstheme="minorHAnsi"/>
                <w:sz w:val="20"/>
                <w:szCs w:val="20"/>
              </w:rPr>
            </w:pPr>
            <w:r w:rsidRPr="003111DA">
              <w:rPr>
                <w:rFonts w:cstheme="minorHAnsi"/>
                <w:sz w:val="20"/>
                <w:szCs w:val="20"/>
              </w:rPr>
              <w:t>2017</w:t>
            </w:r>
          </w:p>
        </w:tc>
        <w:tc>
          <w:tcPr>
            <w:tcW w:w="1248" w:type="dxa"/>
            <w:noWrap/>
            <w:hideMark/>
          </w:tcPr>
          <w:p w14:paraId="37A7D9AF" w14:textId="01C77874"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3D56D395" w14:textId="77777777" w:rsidR="008039C4" w:rsidRPr="003111DA" w:rsidRDefault="008039C4" w:rsidP="003111DA">
            <w:pPr>
              <w:jc w:val="right"/>
              <w:rPr>
                <w:rFonts w:cstheme="minorHAnsi"/>
                <w:sz w:val="20"/>
                <w:szCs w:val="20"/>
              </w:rPr>
            </w:pPr>
            <w:r w:rsidRPr="003111DA">
              <w:rPr>
                <w:rFonts w:cstheme="minorHAnsi"/>
                <w:sz w:val="20"/>
                <w:szCs w:val="20"/>
              </w:rPr>
              <w:t>24%</w:t>
            </w:r>
          </w:p>
        </w:tc>
        <w:tc>
          <w:tcPr>
            <w:tcW w:w="1637" w:type="dxa"/>
            <w:noWrap/>
            <w:hideMark/>
          </w:tcPr>
          <w:p w14:paraId="46FFE022" w14:textId="77777777" w:rsidR="008039C4" w:rsidRPr="003111DA" w:rsidRDefault="008039C4" w:rsidP="003111DA">
            <w:pPr>
              <w:jc w:val="right"/>
              <w:rPr>
                <w:rFonts w:cstheme="minorHAnsi"/>
                <w:sz w:val="20"/>
                <w:szCs w:val="20"/>
              </w:rPr>
            </w:pPr>
            <w:r w:rsidRPr="003111DA">
              <w:rPr>
                <w:rFonts w:cstheme="minorHAnsi"/>
                <w:sz w:val="20"/>
                <w:szCs w:val="20"/>
              </w:rPr>
              <w:t>76%</w:t>
            </w:r>
          </w:p>
        </w:tc>
      </w:tr>
      <w:tr w:rsidR="008039C4" w:rsidRPr="003111DA" w14:paraId="5FC42B7A" w14:textId="77777777" w:rsidTr="00A4790B">
        <w:trPr>
          <w:trHeight w:val="230"/>
        </w:trPr>
        <w:tc>
          <w:tcPr>
            <w:tcW w:w="2120" w:type="dxa"/>
            <w:noWrap/>
            <w:hideMark/>
          </w:tcPr>
          <w:p w14:paraId="60F17D4D" w14:textId="77777777" w:rsidR="008039C4" w:rsidRPr="003111DA" w:rsidRDefault="008039C4" w:rsidP="008039C4">
            <w:pPr>
              <w:rPr>
                <w:rFonts w:cstheme="minorHAnsi"/>
                <w:sz w:val="20"/>
                <w:szCs w:val="20"/>
              </w:rPr>
            </w:pPr>
            <w:r w:rsidRPr="003111DA">
              <w:rPr>
                <w:rFonts w:cstheme="minorHAnsi"/>
                <w:sz w:val="20"/>
                <w:szCs w:val="20"/>
              </w:rPr>
              <w:t>2018</w:t>
            </w:r>
          </w:p>
        </w:tc>
        <w:tc>
          <w:tcPr>
            <w:tcW w:w="1248" w:type="dxa"/>
            <w:noWrap/>
            <w:hideMark/>
          </w:tcPr>
          <w:p w14:paraId="2B60D2A8" w14:textId="1B62CF39"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3C7E4F26" w14:textId="77777777" w:rsidR="008039C4" w:rsidRPr="003111DA" w:rsidRDefault="008039C4" w:rsidP="003111DA">
            <w:pPr>
              <w:jc w:val="right"/>
              <w:rPr>
                <w:rFonts w:cstheme="minorHAnsi"/>
                <w:sz w:val="20"/>
                <w:szCs w:val="20"/>
              </w:rPr>
            </w:pPr>
            <w:r w:rsidRPr="003111DA">
              <w:rPr>
                <w:rFonts w:cstheme="minorHAnsi"/>
                <w:sz w:val="20"/>
                <w:szCs w:val="20"/>
              </w:rPr>
              <w:t>6%</w:t>
            </w:r>
          </w:p>
        </w:tc>
        <w:tc>
          <w:tcPr>
            <w:tcW w:w="1637" w:type="dxa"/>
            <w:noWrap/>
            <w:hideMark/>
          </w:tcPr>
          <w:p w14:paraId="54AF2FA8" w14:textId="77777777" w:rsidR="008039C4" w:rsidRPr="003111DA" w:rsidRDefault="008039C4" w:rsidP="003111DA">
            <w:pPr>
              <w:jc w:val="right"/>
              <w:rPr>
                <w:rFonts w:cstheme="minorHAnsi"/>
                <w:sz w:val="20"/>
                <w:szCs w:val="20"/>
              </w:rPr>
            </w:pPr>
            <w:r w:rsidRPr="003111DA">
              <w:rPr>
                <w:rFonts w:cstheme="minorHAnsi"/>
                <w:sz w:val="20"/>
                <w:szCs w:val="20"/>
              </w:rPr>
              <w:t>94%</w:t>
            </w:r>
          </w:p>
        </w:tc>
      </w:tr>
      <w:tr w:rsidR="008039C4" w:rsidRPr="003111DA" w14:paraId="33591778" w14:textId="77777777" w:rsidTr="00A4790B">
        <w:trPr>
          <w:trHeight w:val="230"/>
        </w:trPr>
        <w:tc>
          <w:tcPr>
            <w:tcW w:w="2120" w:type="dxa"/>
            <w:noWrap/>
            <w:hideMark/>
          </w:tcPr>
          <w:p w14:paraId="03C4D34C" w14:textId="77777777" w:rsidR="008039C4" w:rsidRPr="003111DA" w:rsidRDefault="008039C4" w:rsidP="008039C4">
            <w:pPr>
              <w:rPr>
                <w:rFonts w:cstheme="minorHAnsi"/>
                <w:sz w:val="20"/>
                <w:szCs w:val="20"/>
              </w:rPr>
            </w:pPr>
            <w:r w:rsidRPr="003111DA">
              <w:rPr>
                <w:rFonts w:cstheme="minorHAnsi"/>
                <w:sz w:val="20"/>
                <w:szCs w:val="20"/>
              </w:rPr>
              <w:t>2019</w:t>
            </w:r>
          </w:p>
        </w:tc>
        <w:tc>
          <w:tcPr>
            <w:tcW w:w="1248" w:type="dxa"/>
            <w:noWrap/>
            <w:hideMark/>
          </w:tcPr>
          <w:p w14:paraId="30EAB445" w14:textId="021873B1"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3712949B" w14:textId="77777777" w:rsidR="008039C4" w:rsidRPr="003111DA" w:rsidRDefault="008039C4" w:rsidP="003111DA">
            <w:pPr>
              <w:jc w:val="right"/>
              <w:rPr>
                <w:rFonts w:cstheme="minorHAnsi"/>
                <w:sz w:val="20"/>
                <w:szCs w:val="20"/>
              </w:rPr>
            </w:pPr>
            <w:r w:rsidRPr="003111DA">
              <w:rPr>
                <w:rFonts w:cstheme="minorHAnsi"/>
                <w:sz w:val="20"/>
                <w:szCs w:val="20"/>
              </w:rPr>
              <w:t>8%</w:t>
            </w:r>
          </w:p>
        </w:tc>
        <w:tc>
          <w:tcPr>
            <w:tcW w:w="1637" w:type="dxa"/>
            <w:noWrap/>
            <w:hideMark/>
          </w:tcPr>
          <w:p w14:paraId="5EDBDA78" w14:textId="77777777" w:rsidR="008039C4" w:rsidRPr="003111DA" w:rsidRDefault="008039C4" w:rsidP="003111DA">
            <w:pPr>
              <w:jc w:val="right"/>
              <w:rPr>
                <w:rFonts w:cstheme="minorHAnsi"/>
                <w:sz w:val="20"/>
                <w:szCs w:val="20"/>
              </w:rPr>
            </w:pPr>
            <w:r w:rsidRPr="003111DA">
              <w:rPr>
                <w:rFonts w:cstheme="minorHAnsi"/>
                <w:sz w:val="20"/>
                <w:szCs w:val="20"/>
              </w:rPr>
              <w:t>92%</w:t>
            </w:r>
          </w:p>
        </w:tc>
      </w:tr>
      <w:tr w:rsidR="008039C4" w:rsidRPr="003111DA" w14:paraId="7871B2C8" w14:textId="77777777" w:rsidTr="00A4790B">
        <w:trPr>
          <w:trHeight w:val="230"/>
        </w:trPr>
        <w:tc>
          <w:tcPr>
            <w:tcW w:w="2120" w:type="dxa"/>
            <w:noWrap/>
            <w:hideMark/>
          </w:tcPr>
          <w:p w14:paraId="7BE62351" w14:textId="77777777" w:rsidR="008039C4" w:rsidRPr="003111DA" w:rsidRDefault="008039C4" w:rsidP="008039C4">
            <w:pPr>
              <w:rPr>
                <w:rFonts w:cstheme="minorHAnsi"/>
                <w:sz w:val="20"/>
                <w:szCs w:val="20"/>
              </w:rPr>
            </w:pPr>
            <w:r w:rsidRPr="003111DA">
              <w:rPr>
                <w:rFonts w:cstheme="minorHAnsi"/>
                <w:sz w:val="20"/>
                <w:szCs w:val="20"/>
              </w:rPr>
              <w:t>2020</w:t>
            </w:r>
          </w:p>
        </w:tc>
        <w:tc>
          <w:tcPr>
            <w:tcW w:w="1248" w:type="dxa"/>
            <w:noWrap/>
            <w:hideMark/>
          </w:tcPr>
          <w:p w14:paraId="46E5DAA1" w14:textId="4A781E47" w:rsidR="008039C4" w:rsidRPr="003111DA" w:rsidRDefault="008039C4" w:rsidP="003111DA">
            <w:pPr>
              <w:jc w:val="right"/>
              <w:rPr>
                <w:rFonts w:cstheme="minorHAnsi"/>
                <w:sz w:val="20"/>
                <w:szCs w:val="20"/>
              </w:rPr>
            </w:pPr>
            <w:r w:rsidRPr="003111DA">
              <w:rPr>
                <w:rFonts w:cstheme="minorHAnsi"/>
                <w:sz w:val="20"/>
                <w:szCs w:val="20"/>
              </w:rPr>
              <w:t>0%</w:t>
            </w:r>
          </w:p>
        </w:tc>
        <w:tc>
          <w:tcPr>
            <w:tcW w:w="1755" w:type="dxa"/>
            <w:noWrap/>
            <w:hideMark/>
          </w:tcPr>
          <w:p w14:paraId="7B01243B" w14:textId="77777777" w:rsidR="008039C4" w:rsidRPr="003111DA" w:rsidRDefault="008039C4" w:rsidP="003111DA">
            <w:pPr>
              <w:jc w:val="right"/>
              <w:rPr>
                <w:rFonts w:cstheme="minorHAnsi"/>
                <w:sz w:val="20"/>
                <w:szCs w:val="20"/>
              </w:rPr>
            </w:pPr>
            <w:r w:rsidRPr="003111DA">
              <w:rPr>
                <w:rFonts w:cstheme="minorHAnsi"/>
                <w:sz w:val="20"/>
                <w:szCs w:val="20"/>
              </w:rPr>
              <w:t>7%</w:t>
            </w:r>
          </w:p>
        </w:tc>
        <w:tc>
          <w:tcPr>
            <w:tcW w:w="1637" w:type="dxa"/>
            <w:noWrap/>
            <w:hideMark/>
          </w:tcPr>
          <w:p w14:paraId="75D7F227" w14:textId="77777777" w:rsidR="008039C4" w:rsidRPr="003111DA" w:rsidRDefault="008039C4" w:rsidP="003111DA">
            <w:pPr>
              <w:jc w:val="right"/>
              <w:rPr>
                <w:rFonts w:cstheme="minorHAnsi"/>
                <w:sz w:val="20"/>
                <w:szCs w:val="20"/>
              </w:rPr>
            </w:pPr>
            <w:r w:rsidRPr="003111DA">
              <w:rPr>
                <w:rFonts w:cstheme="minorHAnsi"/>
                <w:sz w:val="20"/>
                <w:szCs w:val="20"/>
              </w:rPr>
              <w:t>93%</w:t>
            </w:r>
          </w:p>
        </w:tc>
      </w:tr>
    </w:tbl>
    <w:p w14:paraId="5CCB7999" w14:textId="77777777" w:rsidR="003111DA" w:rsidRPr="008370DE" w:rsidRDefault="00E754ED" w:rsidP="00C32D45">
      <w:pPr>
        <w:spacing w:after="0"/>
        <w:rPr>
          <w:sz w:val="20"/>
          <w:szCs w:val="20"/>
        </w:rPr>
      </w:pPr>
      <w:r w:rsidRPr="008370DE">
        <w:rPr>
          <w:b/>
          <w:bCs/>
          <w:sz w:val="20"/>
          <w:szCs w:val="20"/>
        </w:rPr>
        <w:t xml:space="preserve">Note: </w:t>
      </w:r>
      <w:r w:rsidRPr="008370DE">
        <w:rPr>
          <w:sz w:val="20"/>
          <w:szCs w:val="20"/>
        </w:rPr>
        <w:t>The royalty rates are understood to be provincial only, with no share owing to the federal government.</w:t>
      </w:r>
      <w:r w:rsidR="000709ED" w:rsidRPr="008370DE">
        <w:rPr>
          <w:sz w:val="20"/>
          <w:szCs w:val="20"/>
        </w:rPr>
        <w:t xml:space="preserve"> Royalty rate is calculated using royalty data divided by resource rent, and this resulting rate would be the rate applied to the resource value (NPV). </w:t>
      </w:r>
    </w:p>
    <w:p w14:paraId="57F3FEC0" w14:textId="16552DD1" w:rsidR="000709ED" w:rsidRPr="008370DE" w:rsidRDefault="000709ED" w:rsidP="00C32D45">
      <w:pPr>
        <w:spacing w:after="0"/>
        <w:rPr>
          <w:sz w:val="20"/>
          <w:szCs w:val="20"/>
        </w:rPr>
      </w:pPr>
      <w:r w:rsidRPr="008370DE">
        <w:rPr>
          <w:b/>
          <w:bCs/>
          <w:sz w:val="20"/>
          <w:szCs w:val="20"/>
        </w:rPr>
        <w:t>Source:</w:t>
      </w:r>
      <w:r w:rsidRPr="008370DE">
        <w:rPr>
          <w:sz w:val="20"/>
          <w:szCs w:val="20"/>
        </w:rPr>
        <w:t xml:space="preserve"> Statistics Canada. </w:t>
      </w:r>
      <w:hyperlink r:id="rId17" w:history="1">
        <w:r w:rsidRPr="008370DE">
          <w:rPr>
            <w:rStyle w:val="Hyperlink"/>
            <w:sz w:val="20"/>
            <w:szCs w:val="20"/>
          </w:rPr>
          <w:t>Table 10-10-0017-01 Canadian government finance statistics for the provincial and territorial governments</w:t>
        </w:r>
      </w:hyperlink>
      <w:r w:rsidRPr="008370DE">
        <w:rPr>
          <w:sz w:val="20"/>
          <w:szCs w:val="20"/>
        </w:rPr>
        <w:t xml:space="preserve">; </w:t>
      </w:r>
      <w:hyperlink r:id="rId18" w:history="1">
        <w:r w:rsidRPr="008370DE">
          <w:rPr>
            <w:rStyle w:val="Hyperlink"/>
            <w:sz w:val="20"/>
            <w:szCs w:val="20"/>
          </w:rPr>
          <w:t>Table 38-10-0006-01 Value of selected natural resource reserves (x 1,000,000)</w:t>
        </w:r>
      </w:hyperlink>
      <w:r w:rsidRPr="008370DE">
        <w:rPr>
          <w:sz w:val="20"/>
          <w:szCs w:val="20"/>
        </w:rPr>
        <w:t xml:space="preserve">. </w:t>
      </w:r>
    </w:p>
    <w:p w14:paraId="3F0310F8" w14:textId="77777777" w:rsidR="00640A0F" w:rsidRPr="003C1A8C" w:rsidRDefault="00640A0F" w:rsidP="00D33EDC">
      <w:pPr>
        <w:rPr>
          <w:b/>
          <w:bCs/>
          <w:sz w:val="20"/>
          <w:szCs w:val="20"/>
        </w:rPr>
      </w:pPr>
    </w:p>
    <w:p w14:paraId="43A5A02B" w14:textId="44896DB3" w:rsidR="00A04355" w:rsidRPr="00A04355" w:rsidRDefault="0056194D" w:rsidP="00E026F0">
      <w:pPr>
        <w:pStyle w:val="Heading3"/>
      </w:pPr>
      <w:r>
        <w:t>3.</w:t>
      </w:r>
      <w:r w:rsidR="00FD7600">
        <w:t>3</w:t>
      </w:r>
      <w:r>
        <w:t xml:space="preserve"> </w:t>
      </w:r>
      <w:r w:rsidR="00671F97" w:rsidRPr="00E026F0">
        <w:t>Gold</w:t>
      </w:r>
    </w:p>
    <w:p w14:paraId="59DEB169" w14:textId="4D534EFC" w:rsidR="00405A2E" w:rsidRDefault="00D81E8C" w:rsidP="005F038B">
      <w:pPr>
        <w:spacing w:afterLines="40" w:after="96" w:line="240" w:lineRule="auto"/>
      </w:pPr>
      <w:r>
        <w:t xml:space="preserve">The </w:t>
      </w:r>
      <w:r w:rsidR="00CF6757">
        <w:t>Annual Minerals and Metals Production Survey</w:t>
      </w:r>
      <w:r>
        <w:t xml:space="preserve"> from Statistics Canada was used t</w:t>
      </w:r>
      <w:r w:rsidR="002C2AFD" w:rsidRPr="002C2AFD">
        <w:t>o determine the share of gold production and revenue attributable to each province and territory</w:t>
      </w:r>
      <w:r w:rsidR="002C2AFD">
        <w:t xml:space="preserve">. </w:t>
      </w:r>
      <w:r w:rsidR="00671F97">
        <w:t>For the past ten years</w:t>
      </w:r>
      <w:r w:rsidR="008C14B5">
        <w:t>,</w:t>
      </w:r>
      <w:r w:rsidR="00671F97">
        <w:t xml:space="preserve"> </w:t>
      </w:r>
      <w:r w:rsidR="00D57C35">
        <w:t xml:space="preserve">the </w:t>
      </w:r>
      <w:r w:rsidR="00901F56">
        <w:t>majority</w:t>
      </w:r>
      <w:r w:rsidR="00671F97">
        <w:t xml:space="preserve"> </w:t>
      </w:r>
      <w:r w:rsidR="00C82DB1">
        <w:t xml:space="preserve">of </w:t>
      </w:r>
      <w:r w:rsidR="00671F97">
        <w:t xml:space="preserve">production </w:t>
      </w:r>
      <w:r w:rsidR="0043246B">
        <w:t>occurred</w:t>
      </w:r>
      <w:r w:rsidR="00F23E66">
        <w:t xml:space="preserve"> in</w:t>
      </w:r>
      <w:r w:rsidR="00671F97">
        <w:t xml:space="preserve"> Ontario (40%), Quebec (35%)</w:t>
      </w:r>
      <w:r w:rsidR="0043246B">
        <w:t xml:space="preserve"> and</w:t>
      </w:r>
      <w:r w:rsidR="00671F97">
        <w:t xml:space="preserve"> Nunavut (10%)</w:t>
      </w:r>
      <w:r w:rsidR="008C14B5">
        <w:t xml:space="preserve">, </w:t>
      </w:r>
      <w:r w:rsidR="00F23E66">
        <w:t xml:space="preserve">with </w:t>
      </w:r>
      <w:r w:rsidR="00F510C7">
        <w:t>the re</w:t>
      </w:r>
      <w:r w:rsidR="00D57C35">
        <w:t xml:space="preserve">maining </w:t>
      </w:r>
      <w:r w:rsidR="00F23E66">
        <w:t xml:space="preserve">production </w:t>
      </w:r>
      <w:r w:rsidR="00F510C7">
        <w:t>split between Manitoba, Saskatchewan and British Columbia.</w:t>
      </w:r>
      <w:r w:rsidR="00671F97">
        <w:t xml:space="preserve"> </w:t>
      </w:r>
      <w:r w:rsidR="005F038B">
        <w:t xml:space="preserve">The </w:t>
      </w:r>
      <w:r w:rsidR="000738CC">
        <w:t>royalty/tax</w:t>
      </w:r>
      <w:r w:rsidR="00C32D45">
        <w:t xml:space="preserve"> </w:t>
      </w:r>
      <w:r w:rsidR="005F038B">
        <w:t>regimes for all producing provinces were used, along with their production share, to estimate the total provincial</w:t>
      </w:r>
      <w:r w:rsidR="0043246B">
        <w:t>/territorial</w:t>
      </w:r>
      <w:r w:rsidR="005F038B">
        <w:t xml:space="preserve"> share of th</w:t>
      </w:r>
      <w:r w:rsidR="00F23E66">
        <w:t>is</w:t>
      </w:r>
      <w:r w:rsidR="005F038B">
        <w:t xml:space="preserve"> resource</w:t>
      </w:r>
      <w:r w:rsidR="00C84301">
        <w:t xml:space="preserve">’s </w:t>
      </w:r>
      <w:r w:rsidR="005F038B">
        <w:t xml:space="preserve">value. </w:t>
      </w:r>
    </w:p>
    <w:p w14:paraId="23E70D34" w14:textId="254469B8" w:rsidR="004D763B" w:rsidRDefault="00D817B3" w:rsidP="000A3F4F">
      <w:pPr>
        <w:spacing w:afterLines="40" w:after="96" w:line="240" w:lineRule="auto"/>
      </w:pPr>
      <w:r>
        <w:lastRenderedPageBreak/>
        <w:t xml:space="preserve">For this </w:t>
      </w:r>
      <w:r w:rsidR="002E3EA1">
        <w:t>analysis,</w:t>
      </w:r>
      <w:r>
        <w:t xml:space="preserve"> resource</w:t>
      </w:r>
      <w:r w:rsidRPr="007F0518">
        <w:t xml:space="preserve"> rent </w:t>
      </w:r>
      <w:r>
        <w:t>was</w:t>
      </w:r>
      <w:r w:rsidRPr="007F0518">
        <w:t xml:space="preserve"> used as a proxy</w:t>
      </w:r>
      <w:r>
        <w:t xml:space="preserve"> </w:t>
      </w:r>
      <w:r w:rsidRPr="007F0518">
        <w:t xml:space="preserve">for profit and net revenue when modelling </w:t>
      </w:r>
      <w:r>
        <w:t xml:space="preserve">gold </w:t>
      </w:r>
      <w:r w:rsidRPr="007F0518">
        <w:t>royalty and tax payments.</w:t>
      </w:r>
      <w:r>
        <w:t xml:space="preserve"> This decision was taken because of the varying regimes amongst the six main provinces</w:t>
      </w:r>
      <w:r w:rsidR="002E3EA1">
        <w:t>/territories</w:t>
      </w:r>
      <w:r>
        <w:t xml:space="preserve"> producing gold. For example, </w:t>
      </w:r>
      <w:r w:rsidR="0097313C">
        <w:t xml:space="preserve">Ontario, Saskatchewan and Manitoba are all profit-based regimes, while Nunavut and British Columbia are net revenue-based, and Quebec can be either. </w:t>
      </w:r>
    </w:p>
    <w:p w14:paraId="768A0D76" w14:textId="4D6A0754" w:rsidR="0097313C" w:rsidRDefault="002E3EA1" w:rsidP="0097313C">
      <w:pPr>
        <w:spacing w:afterLines="40" w:after="96" w:line="240" w:lineRule="auto"/>
      </w:pPr>
      <w:r>
        <w:t>N</w:t>
      </w:r>
      <w:r w:rsidR="00D817B3">
        <w:t>ote</w:t>
      </w:r>
      <w:r>
        <w:t xml:space="preserve"> that</w:t>
      </w:r>
      <w:r w:rsidR="00D817B3">
        <w:t xml:space="preserve"> that </w:t>
      </w:r>
      <w:r w:rsidR="0097313C">
        <w:t>gold m</w:t>
      </w:r>
      <w:r w:rsidR="0097313C" w:rsidRPr="00741063">
        <w:t>ines in Saskatchewan and Nunavut are subject to a dedicated royalty regime. In contrast, Ontario, Manitoba and British Columbia rely on mineral taxation frameworks. Quebec employs a hybrid regime, under which producers are subject to either a royalty on the value of output or a tax on mine profits, whichever results in the higher payment.</w:t>
      </w:r>
      <w:r w:rsidR="00A652FB">
        <w:t xml:space="preserve"> Refer to Section 4.1.1 for more discussion on mineral taxes. </w:t>
      </w:r>
    </w:p>
    <w:p w14:paraId="0D7F505E" w14:textId="0B00B97A" w:rsidR="0097313C" w:rsidRDefault="0097313C" w:rsidP="0097313C">
      <w:pPr>
        <w:spacing w:afterLines="40" w:after="96" w:line="240" w:lineRule="auto"/>
      </w:pPr>
      <w:r>
        <w:t>In 2024, a devolution agreement was signed between the federal government and Nunavut government</w:t>
      </w:r>
      <w:r>
        <w:rPr>
          <w:rStyle w:val="FootnoteReference"/>
        </w:rPr>
        <w:footnoteReference w:id="13"/>
      </w:r>
      <w:r>
        <w:t xml:space="preserve"> that transfers ownership of natural resources to Nunavut by 2027. While natural resources were under the administration of the federal government before this agreement, for the purposes of this analysis, the royalties calculated were classified to the provincial/territorial share. Also, outside of this agreement</w:t>
      </w:r>
      <w:r w:rsidR="002E3EA1">
        <w:t>,</w:t>
      </w:r>
      <w:r>
        <w:t xml:space="preserve"> gold mines on Inuit Owned Land must also pay a separate royalty to </w:t>
      </w:r>
      <w:r w:rsidRPr="00BC7C35">
        <w:rPr>
          <w:i/>
          <w:iCs/>
        </w:rPr>
        <w:t>Nunavut Tunngavik Incorporated</w:t>
      </w:r>
      <w:r>
        <w:t xml:space="preserve"> (NTI). This change is not addressed in this analysis of resource value split ownership, as a result of a lack of data. However, this issue will be retained for future efforts to allocate a share of the resource value to Indigenous governments.</w:t>
      </w:r>
    </w:p>
    <w:p w14:paraId="1F550EC5" w14:textId="77777777" w:rsidR="00D86A6E" w:rsidRDefault="00D86A6E" w:rsidP="00621779">
      <w:pPr>
        <w:spacing w:afterLines="40" w:after="96" w:line="240" w:lineRule="auto"/>
      </w:pPr>
    </w:p>
    <w:p w14:paraId="2232A9A4" w14:textId="766B98BC" w:rsidR="00E026F0" w:rsidRDefault="00D86A6E" w:rsidP="00E026F0">
      <w:pPr>
        <w:rPr>
          <w:b/>
          <w:bCs/>
          <w:sz w:val="20"/>
          <w:szCs w:val="20"/>
        </w:rPr>
      </w:pPr>
      <w:r w:rsidRPr="00E026F0">
        <w:rPr>
          <w:b/>
          <w:bCs/>
        </w:rPr>
        <w:t>3.</w:t>
      </w:r>
      <w:r w:rsidR="001B5058">
        <w:rPr>
          <w:b/>
          <w:bCs/>
        </w:rPr>
        <w:t>3</w:t>
      </w:r>
      <w:r w:rsidRPr="00E026F0">
        <w:rPr>
          <w:b/>
          <w:bCs/>
        </w:rPr>
        <w:t xml:space="preserve">.1 </w:t>
      </w:r>
      <w:r w:rsidR="007843FA">
        <w:rPr>
          <w:b/>
          <w:bCs/>
        </w:rPr>
        <w:t xml:space="preserve">Results and </w:t>
      </w:r>
      <w:r w:rsidR="00F93E64">
        <w:rPr>
          <w:b/>
          <w:bCs/>
        </w:rPr>
        <w:t>c</w:t>
      </w:r>
      <w:r w:rsidRPr="00E026F0">
        <w:rPr>
          <w:b/>
          <w:bCs/>
        </w:rPr>
        <w:t>hallenges</w:t>
      </w:r>
    </w:p>
    <w:p w14:paraId="4B6ADE75" w14:textId="407B885C" w:rsidR="00605D49" w:rsidRDefault="00303F0A" w:rsidP="00605D49">
      <w:pPr>
        <w:spacing w:afterLines="40" w:after="96" w:line="240" w:lineRule="auto"/>
      </w:pPr>
      <w:r>
        <w:t>Individual p</w:t>
      </w:r>
      <w:r w:rsidR="00605D49" w:rsidRPr="00FB12C3">
        <w:t xml:space="preserve">rovincial </w:t>
      </w:r>
      <w:r w:rsidR="00FB12C3">
        <w:t xml:space="preserve">resource </w:t>
      </w:r>
      <w:r w:rsidR="00605D49" w:rsidRPr="00FB12C3">
        <w:t>rent values are not</w:t>
      </w:r>
      <w:r w:rsidR="00B14A67" w:rsidRPr="00FB12C3">
        <w:t xml:space="preserve"> currently</w:t>
      </w:r>
      <w:r w:rsidR="00605D49" w:rsidRPr="00FB12C3">
        <w:t xml:space="preserve"> produced for gold in the NRAA</w:t>
      </w:r>
      <w:r w:rsidR="00B14A67" w:rsidRPr="00FB12C3">
        <w:t xml:space="preserve">, so the rent was estimated </w:t>
      </w:r>
      <w:r w:rsidR="00605D49" w:rsidRPr="00FB12C3">
        <w:t>by applying a</w:t>
      </w:r>
      <w:r w:rsidR="00B14A67" w:rsidRPr="00FB12C3">
        <w:t xml:space="preserve"> national </w:t>
      </w:r>
      <w:r w:rsidR="00605D49" w:rsidRPr="00FB12C3">
        <w:t>profit margin</w:t>
      </w:r>
      <w:r w:rsidR="00B14A67" w:rsidRPr="00FB12C3">
        <w:t xml:space="preserve"> to each province’s gross revenue.</w:t>
      </w:r>
      <w:r w:rsidR="00B14A67">
        <w:t xml:space="preserve"> This profit margin was </w:t>
      </w:r>
      <w:r w:rsidR="00605D49" w:rsidRPr="007F0518">
        <w:t xml:space="preserve">derived from the ratio of </w:t>
      </w:r>
      <w:r w:rsidR="00F23E66">
        <w:t xml:space="preserve">total </w:t>
      </w:r>
      <w:r>
        <w:t>resource</w:t>
      </w:r>
      <w:r w:rsidR="00605D49" w:rsidRPr="007F0518">
        <w:t xml:space="preserve"> rent </w:t>
      </w:r>
      <w:r w:rsidR="00F23E66">
        <w:t xml:space="preserve">for gold </w:t>
      </w:r>
      <w:r w:rsidR="00605D49" w:rsidRPr="007F0518">
        <w:t xml:space="preserve">to </w:t>
      </w:r>
      <w:r w:rsidR="00F23E66">
        <w:t xml:space="preserve">total </w:t>
      </w:r>
      <w:r w:rsidR="00605D49" w:rsidRPr="007F0518">
        <w:t>gross revenue</w:t>
      </w:r>
      <w:r w:rsidR="00F23E66">
        <w:t xml:space="preserve"> from gold production</w:t>
      </w:r>
      <w:r w:rsidR="00B14A67">
        <w:t xml:space="preserve">. </w:t>
      </w:r>
      <w:r w:rsidR="00605D49">
        <w:t>This provides a base value for the royalty regimes.</w:t>
      </w:r>
      <w:r w:rsidR="00FB12C3">
        <w:t xml:space="preserve"> </w:t>
      </w:r>
    </w:p>
    <w:p w14:paraId="379C143E" w14:textId="6A3FC524" w:rsidR="004E6CCB" w:rsidRPr="00D8142A" w:rsidRDefault="004E6CCB" w:rsidP="004E6CCB">
      <w:pPr>
        <w:spacing w:afterLines="40" w:after="96" w:line="240" w:lineRule="auto"/>
        <w:rPr>
          <w:lang w:val="en-US"/>
        </w:rPr>
      </w:pPr>
      <w:r w:rsidRPr="004E6CCB">
        <w:t xml:space="preserve">The drawback of using a provincial rent proxy is that this approach requires several assumptions. These include assuming homogeneous cost structures across provinces and overlooking important differences in ore grade, mine maturity and capital costs. </w:t>
      </w:r>
      <w:r w:rsidR="003E6F9D">
        <w:t>It also</w:t>
      </w:r>
      <w:r w:rsidRPr="004E6CCB">
        <w:t xml:space="preserve"> ignores the differing definitions of profit used by each province. </w:t>
      </w:r>
      <w:r w:rsidR="00FB12C3">
        <w:t xml:space="preserve">Calculating individual provincial rents based on available variables in the mining survey would have the same drawbacks. </w:t>
      </w:r>
      <w:r w:rsidR="00671031">
        <w:t xml:space="preserve">A </w:t>
      </w:r>
      <w:r w:rsidR="003E6F9D" w:rsidRPr="003E6F9D">
        <w:t xml:space="preserve">revenue-based approach avoids assumptions about cost structures but introduces a different limitation: </w:t>
      </w:r>
      <w:r w:rsidR="00207278">
        <w:t>by not accounting for costs</w:t>
      </w:r>
      <w:r w:rsidR="003E6F9D" w:rsidRPr="003E6F9D">
        <w:t xml:space="preserve">, it risks overstating the rent accruing to provinces when profit margins are low. Ideally, </w:t>
      </w:r>
      <w:r w:rsidR="00207278">
        <w:t xml:space="preserve">provincial rent would be measured using </w:t>
      </w:r>
      <w:r w:rsidR="003E6F9D" w:rsidRPr="003E6F9D">
        <w:t xml:space="preserve">a directly calculated profit </w:t>
      </w:r>
      <w:r w:rsidR="00207278">
        <w:t>metric</w:t>
      </w:r>
      <w:r w:rsidR="003E6F9D" w:rsidRPr="003E6F9D">
        <w:t>; however,</w:t>
      </w:r>
      <w:r w:rsidR="006F64C5">
        <w:t xml:space="preserve"> as the definition of profit varies by province</w:t>
      </w:r>
      <w:r w:rsidR="00671031">
        <w:t xml:space="preserve">, </w:t>
      </w:r>
      <w:r w:rsidR="006F64C5">
        <w:t>a</w:t>
      </w:r>
      <w:r w:rsidR="00671031">
        <w:t xml:space="preserve"> proxy rent was considered the best option</w:t>
      </w:r>
      <w:r w:rsidR="006F64C5">
        <w:t xml:space="preserve"> for the purpose of this paper</w:t>
      </w:r>
      <w:r w:rsidR="003E6F9D" w:rsidRPr="003E6F9D">
        <w:t>.</w:t>
      </w:r>
      <w:r w:rsidR="00207278">
        <w:t xml:space="preserve"> Notably, the challenge of defining profit has been recognized by provinces themselves. For example, section 12 of Manitoba’s </w:t>
      </w:r>
      <w:r w:rsidR="00207278" w:rsidRPr="00D8142A">
        <w:rPr>
          <w:i/>
          <w:iCs/>
        </w:rPr>
        <w:t>Mining Tax Act</w:t>
      </w:r>
      <w:r w:rsidR="00303F0A">
        <w:rPr>
          <w:rStyle w:val="FootnoteReference"/>
          <w:i/>
          <w:iCs/>
        </w:rPr>
        <w:footnoteReference w:id="14"/>
      </w:r>
      <w:r w:rsidR="00207278">
        <w:t xml:space="preserve"> provides for </w:t>
      </w:r>
      <w:r w:rsidR="00683871">
        <w:t>“</w:t>
      </w:r>
      <w:r w:rsidR="00207278">
        <w:t>i</w:t>
      </w:r>
      <w:r w:rsidR="00207278" w:rsidRPr="00D8142A">
        <w:rPr>
          <w:lang w:val="en-US"/>
        </w:rPr>
        <w:t>nter-</w:t>
      </w:r>
      <w:r w:rsidR="007B35BF">
        <w:rPr>
          <w:lang w:val="en-US"/>
        </w:rPr>
        <w:t>p</w:t>
      </w:r>
      <w:r w:rsidR="00207278" w:rsidRPr="00D8142A">
        <w:rPr>
          <w:lang w:val="en-US"/>
        </w:rPr>
        <w:t xml:space="preserve">rovincial agreements to fix </w:t>
      </w:r>
      <w:r w:rsidR="00207278" w:rsidRPr="00207278">
        <w:rPr>
          <w:lang w:val="en-US"/>
        </w:rPr>
        <w:t xml:space="preserve">[the] </w:t>
      </w:r>
      <w:r w:rsidR="00207278" w:rsidRPr="00D8142A">
        <w:rPr>
          <w:lang w:val="en-US"/>
        </w:rPr>
        <w:t>method of determining profit</w:t>
      </w:r>
      <w:r w:rsidR="00207278">
        <w:rPr>
          <w:lang w:val="en-US"/>
        </w:rPr>
        <w:t>,</w:t>
      </w:r>
      <w:r w:rsidR="00683871">
        <w:rPr>
          <w:lang w:val="en-US"/>
        </w:rPr>
        <w:t>”</w:t>
      </w:r>
      <w:r w:rsidR="00207278">
        <w:rPr>
          <w:lang w:val="en-US"/>
        </w:rPr>
        <w:t xml:space="preserve"> underscoring the difficulties associated with establishing a consistent profit measure across jurisdictions. </w:t>
      </w:r>
    </w:p>
    <w:p w14:paraId="6F5DA4CC" w14:textId="601F01C3" w:rsidR="005D47FA" w:rsidRDefault="00DD2954" w:rsidP="00D86A6E">
      <w:pPr>
        <w:spacing w:afterLines="40" w:after="96" w:line="240" w:lineRule="auto"/>
      </w:pPr>
      <w:r w:rsidRPr="00467B95">
        <w:t>The calculated royalty amounts</w:t>
      </w:r>
      <w:r>
        <w:t>, summed</w:t>
      </w:r>
      <w:r w:rsidRPr="00467B95">
        <w:t xml:space="preserve"> f</w:t>
      </w:r>
      <w:r>
        <w:t>rom</w:t>
      </w:r>
      <w:r w:rsidRPr="00467B95">
        <w:t xml:space="preserve"> each province are presented below (Table </w:t>
      </w:r>
      <w:r w:rsidR="00CE0B1D">
        <w:t>7</w:t>
      </w:r>
      <w:r w:rsidRPr="00467B95">
        <w:t>). The</w:t>
      </w:r>
      <w:r w:rsidR="00694FD3">
        <w:t xml:space="preserve"> results</w:t>
      </w:r>
      <w:r w:rsidRPr="00467B95">
        <w:t xml:space="preserve"> indicate </w:t>
      </w:r>
      <w:r w:rsidR="00325B7E">
        <w:t xml:space="preserve">that the </w:t>
      </w:r>
      <w:r w:rsidRPr="00467B95">
        <w:t xml:space="preserve">provincial share </w:t>
      </w:r>
      <w:r w:rsidR="00325B7E">
        <w:t xml:space="preserve">itself </w:t>
      </w:r>
      <w:r w:rsidRPr="00467B95">
        <w:t>represents only a small portion of the total value of gold, with the majority</w:t>
      </w:r>
      <w:r w:rsidR="00173786">
        <w:t xml:space="preserve"> allocated</w:t>
      </w:r>
      <w:r w:rsidRPr="00467B95">
        <w:t xml:space="preserve"> to the corporate sector</w:t>
      </w:r>
      <w:r>
        <w:t xml:space="preserve"> (Table </w:t>
      </w:r>
      <w:r w:rsidR="00CE0B1D">
        <w:t>8</w:t>
      </w:r>
      <w:r>
        <w:t>)</w:t>
      </w:r>
      <w:r w:rsidRPr="00467B95">
        <w:t xml:space="preserve">. </w:t>
      </w:r>
      <w:r w:rsidR="00694FD3" w:rsidRPr="003728D4">
        <w:t xml:space="preserve">The federal share is </w:t>
      </w:r>
      <w:r w:rsidR="00102727">
        <w:t xml:space="preserve">currently set to </w:t>
      </w:r>
      <w:r w:rsidR="00694FD3" w:rsidRPr="003728D4">
        <w:t xml:space="preserve">zero. This </w:t>
      </w:r>
      <w:r w:rsidR="00102727">
        <w:t xml:space="preserve">decision was made </w:t>
      </w:r>
      <w:r w:rsidR="00325B7E">
        <w:t xml:space="preserve">with </w:t>
      </w:r>
      <w:r w:rsidR="00102727">
        <w:t xml:space="preserve">the </w:t>
      </w:r>
      <w:r w:rsidR="00694FD3" w:rsidRPr="003728D4">
        <w:t>assumption that ther</w:t>
      </w:r>
      <w:r w:rsidR="00325B7E">
        <w:t>e</w:t>
      </w:r>
      <w:r w:rsidR="00694FD3" w:rsidRPr="003728D4">
        <w:t xml:space="preserve"> is </w:t>
      </w:r>
      <w:r w:rsidR="00102727">
        <w:t xml:space="preserve">currently </w:t>
      </w:r>
      <w:r w:rsidR="00694FD3" w:rsidRPr="003728D4">
        <w:t>no federal ownership of</w:t>
      </w:r>
      <w:r w:rsidR="00694FD3">
        <w:t xml:space="preserve"> gold</w:t>
      </w:r>
      <w:r w:rsidR="00694FD3" w:rsidRPr="003728D4">
        <w:t xml:space="preserve"> mineral leases</w:t>
      </w:r>
      <w:r w:rsidR="00102727">
        <w:t xml:space="preserve"> and therefore there should </w:t>
      </w:r>
      <w:r w:rsidR="00683871">
        <w:t xml:space="preserve">be </w:t>
      </w:r>
      <w:r w:rsidR="00325B7E">
        <w:t xml:space="preserve">no </w:t>
      </w:r>
      <w:r w:rsidR="00102727">
        <w:t>royalty revenue</w:t>
      </w:r>
      <w:r w:rsidR="00325B7E">
        <w:t xml:space="preserve"> from gold production.</w:t>
      </w:r>
    </w:p>
    <w:p w14:paraId="123CE035" w14:textId="77777777" w:rsidR="006357BC" w:rsidRPr="008E565D" w:rsidRDefault="00F56BB9" w:rsidP="006357BC">
      <w:pPr>
        <w:spacing w:after="0" w:line="240" w:lineRule="auto"/>
        <w:rPr>
          <w:b/>
          <w:bCs/>
          <w:sz w:val="20"/>
          <w:szCs w:val="20"/>
        </w:rPr>
      </w:pPr>
      <w:r w:rsidRPr="008E565D">
        <w:rPr>
          <w:b/>
          <w:bCs/>
          <w:sz w:val="20"/>
          <w:szCs w:val="20"/>
        </w:rPr>
        <w:t xml:space="preserve">Table </w:t>
      </w:r>
      <w:r w:rsidR="00CE0B1D" w:rsidRPr="008E565D">
        <w:rPr>
          <w:b/>
          <w:bCs/>
          <w:sz w:val="20"/>
          <w:szCs w:val="20"/>
        </w:rPr>
        <w:t>7</w:t>
      </w:r>
    </w:p>
    <w:p w14:paraId="482C962A" w14:textId="1FBFC0AC" w:rsidR="008823D5" w:rsidRPr="008E565D" w:rsidRDefault="007364BD" w:rsidP="006357BC">
      <w:pPr>
        <w:spacing w:after="0" w:line="240" w:lineRule="auto"/>
        <w:rPr>
          <w:b/>
          <w:bCs/>
          <w:sz w:val="20"/>
          <w:szCs w:val="20"/>
        </w:rPr>
      </w:pPr>
      <w:r w:rsidRPr="008E565D">
        <w:rPr>
          <w:b/>
          <w:bCs/>
          <w:sz w:val="20"/>
          <w:szCs w:val="20"/>
        </w:rPr>
        <w:lastRenderedPageBreak/>
        <w:t>Allocation</w:t>
      </w:r>
      <w:r w:rsidR="00ED1913" w:rsidRPr="008E565D">
        <w:rPr>
          <w:b/>
          <w:bCs/>
          <w:sz w:val="20"/>
          <w:szCs w:val="20"/>
        </w:rPr>
        <w:t xml:space="preserve"> of</w:t>
      </w:r>
      <w:r w:rsidR="00D8142A" w:rsidRPr="008E565D">
        <w:rPr>
          <w:b/>
          <w:bCs/>
          <w:sz w:val="20"/>
          <w:szCs w:val="20"/>
        </w:rPr>
        <w:t xml:space="preserve"> gold</w:t>
      </w:r>
      <w:r w:rsidR="00C35457" w:rsidRPr="008E565D">
        <w:rPr>
          <w:b/>
          <w:bCs/>
          <w:sz w:val="20"/>
          <w:szCs w:val="20"/>
        </w:rPr>
        <w:t xml:space="preserve"> present value</w:t>
      </w:r>
      <w:r w:rsidR="006357BC" w:rsidRPr="008E565D">
        <w:rPr>
          <w:b/>
          <w:bCs/>
          <w:sz w:val="20"/>
          <w:szCs w:val="20"/>
        </w:rPr>
        <w:t xml:space="preserve"> on net price I</w:t>
      </w:r>
      <w:r w:rsidR="00C35457" w:rsidRPr="008E565D">
        <w:rPr>
          <w:b/>
          <w:bCs/>
          <w:sz w:val="20"/>
          <w:szCs w:val="20"/>
        </w:rPr>
        <w:t>,</w:t>
      </w:r>
      <w:r w:rsidR="00097FC1" w:rsidRPr="008E565D">
        <w:rPr>
          <w:b/>
          <w:bCs/>
          <w:sz w:val="20"/>
          <w:szCs w:val="20"/>
        </w:rPr>
        <w:t xml:space="preserve"> </w:t>
      </w:r>
      <w:r w:rsidR="00D8142A" w:rsidRPr="008E565D">
        <w:rPr>
          <w:b/>
          <w:bCs/>
          <w:sz w:val="20"/>
          <w:szCs w:val="20"/>
        </w:rPr>
        <w:t>by economic owners</w:t>
      </w:r>
      <w:r w:rsidR="00C35457" w:rsidRPr="008E565D">
        <w:rPr>
          <w:b/>
          <w:bCs/>
          <w:sz w:val="20"/>
          <w:szCs w:val="20"/>
        </w:rPr>
        <w:t>,</w:t>
      </w:r>
      <w:r w:rsidR="00F56BB9" w:rsidRPr="008E565D">
        <w:rPr>
          <w:b/>
          <w:bCs/>
          <w:sz w:val="20"/>
          <w:szCs w:val="20"/>
        </w:rPr>
        <w:t xml:space="preserve"> </w:t>
      </w:r>
      <w:r w:rsidRPr="008E565D">
        <w:rPr>
          <w:b/>
          <w:bCs/>
          <w:sz w:val="20"/>
          <w:szCs w:val="20"/>
        </w:rPr>
        <w:t>using royalty values calculated from provincial regimes</w:t>
      </w:r>
      <w:r w:rsidR="00C35457" w:rsidRPr="008E565D">
        <w:rPr>
          <w:b/>
          <w:bCs/>
          <w:sz w:val="20"/>
          <w:szCs w:val="20"/>
        </w:rPr>
        <w:t>, 2010 to 2020</w:t>
      </w:r>
    </w:p>
    <w:tbl>
      <w:tblPr>
        <w:tblW w:w="9299" w:type="dxa"/>
        <w:jc w:val="center"/>
        <w:tblLook w:val="04A0" w:firstRow="1" w:lastRow="0" w:firstColumn="1" w:lastColumn="0" w:noHBand="0" w:noVBand="1"/>
      </w:tblPr>
      <w:tblGrid>
        <w:gridCol w:w="1420"/>
        <w:gridCol w:w="1846"/>
        <w:gridCol w:w="1321"/>
        <w:gridCol w:w="2553"/>
        <w:gridCol w:w="2159"/>
      </w:tblGrid>
      <w:tr w:rsidR="00A15EDE" w:rsidRPr="006357BC" w14:paraId="3F16ABFD" w14:textId="77777777" w:rsidTr="00A15EDE">
        <w:trPr>
          <w:trHeight w:val="598"/>
          <w:jc w:val="center"/>
        </w:trPr>
        <w:tc>
          <w:tcPr>
            <w:tcW w:w="1420" w:type="dxa"/>
            <w:tcBorders>
              <w:top w:val="single" w:sz="4" w:space="0" w:color="auto"/>
              <w:left w:val="single" w:sz="4" w:space="0" w:color="auto"/>
              <w:bottom w:val="single" w:sz="4" w:space="0" w:color="auto"/>
              <w:right w:val="single" w:sz="4" w:space="0" w:color="auto"/>
            </w:tcBorders>
            <w:noWrap/>
            <w:vAlign w:val="bottom"/>
            <w:hideMark/>
          </w:tcPr>
          <w:p w14:paraId="0814A919" w14:textId="77777777" w:rsidR="00A15EDE" w:rsidRPr="006357BC" w:rsidRDefault="00A15EDE" w:rsidP="00F928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 </w:t>
            </w:r>
          </w:p>
        </w:tc>
        <w:tc>
          <w:tcPr>
            <w:tcW w:w="1846" w:type="dxa"/>
            <w:tcBorders>
              <w:top w:val="single" w:sz="4" w:space="0" w:color="auto"/>
              <w:left w:val="nil"/>
              <w:bottom w:val="single" w:sz="4" w:space="0" w:color="auto"/>
              <w:right w:val="single" w:sz="4" w:space="0" w:color="auto"/>
            </w:tcBorders>
            <w:vAlign w:val="center"/>
            <w:hideMark/>
          </w:tcPr>
          <w:p w14:paraId="1BA7CC05" w14:textId="69200C9C" w:rsidR="00A15EDE" w:rsidRPr="006357BC" w:rsidRDefault="00A15EDE" w:rsidP="00F928BC">
            <w:pPr>
              <w:spacing w:after="0" w:line="240" w:lineRule="auto"/>
              <w:jc w:val="center"/>
              <w:rPr>
                <w:rFonts w:eastAsia="Times New Roman" w:cstheme="minorHAnsi"/>
                <w:b/>
                <w:bCs/>
                <w:color w:val="000000"/>
                <w:sz w:val="20"/>
                <w:szCs w:val="20"/>
                <w:lang w:eastAsia="en-CA"/>
              </w:rPr>
            </w:pPr>
            <w:r w:rsidRPr="006357BC">
              <w:rPr>
                <w:rFonts w:eastAsia="Times New Roman" w:cstheme="minorHAnsi"/>
                <w:b/>
                <w:bCs/>
                <w:color w:val="000000"/>
                <w:sz w:val="20"/>
                <w:szCs w:val="20"/>
                <w:lang w:eastAsia="en-CA"/>
              </w:rPr>
              <w:t xml:space="preserve">Present </w:t>
            </w:r>
            <w:r w:rsidR="002E3EA1">
              <w:rPr>
                <w:rFonts w:eastAsia="Times New Roman" w:cstheme="minorHAnsi"/>
                <w:b/>
                <w:bCs/>
                <w:color w:val="000000"/>
                <w:sz w:val="20"/>
                <w:szCs w:val="20"/>
                <w:lang w:eastAsia="en-CA"/>
              </w:rPr>
              <w:t>v</w:t>
            </w:r>
            <w:r w:rsidRPr="006357BC">
              <w:rPr>
                <w:rFonts w:eastAsia="Times New Roman" w:cstheme="minorHAnsi"/>
                <w:b/>
                <w:bCs/>
                <w:color w:val="000000"/>
                <w:sz w:val="20"/>
                <w:szCs w:val="20"/>
                <w:lang w:eastAsia="en-CA"/>
              </w:rPr>
              <w:t xml:space="preserve">alue (on </w:t>
            </w:r>
            <w:r w:rsidR="002E3EA1">
              <w:rPr>
                <w:rFonts w:eastAsia="Times New Roman" w:cstheme="minorHAnsi"/>
                <w:b/>
                <w:bCs/>
                <w:color w:val="000000"/>
                <w:sz w:val="20"/>
                <w:szCs w:val="20"/>
                <w:lang w:eastAsia="en-CA"/>
              </w:rPr>
              <w:t>n</w:t>
            </w:r>
            <w:r w:rsidRPr="006357BC">
              <w:rPr>
                <w:rFonts w:eastAsia="Times New Roman" w:cstheme="minorHAnsi"/>
                <w:b/>
                <w:bCs/>
                <w:color w:val="000000"/>
                <w:sz w:val="20"/>
                <w:szCs w:val="20"/>
                <w:lang w:eastAsia="en-CA"/>
              </w:rPr>
              <w:t xml:space="preserve">et </w:t>
            </w:r>
            <w:r w:rsidR="002E3EA1">
              <w:rPr>
                <w:rFonts w:eastAsia="Times New Roman" w:cstheme="minorHAnsi"/>
                <w:b/>
                <w:bCs/>
                <w:color w:val="000000"/>
                <w:sz w:val="20"/>
                <w:szCs w:val="20"/>
                <w:lang w:eastAsia="en-CA"/>
              </w:rPr>
              <w:t>p</w:t>
            </w:r>
            <w:r w:rsidRPr="006357BC">
              <w:rPr>
                <w:rFonts w:eastAsia="Times New Roman" w:cstheme="minorHAnsi"/>
                <w:b/>
                <w:bCs/>
                <w:color w:val="000000"/>
                <w:sz w:val="20"/>
                <w:szCs w:val="20"/>
                <w:lang w:eastAsia="en-CA"/>
              </w:rPr>
              <w:t>rice I</w:t>
            </w:r>
            <w:r w:rsidR="00D62A68" w:rsidRPr="006357BC">
              <w:rPr>
                <w:rFonts w:eastAsia="Times New Roman" w:cstheme="minorHAnsi"/>
                <w:b/>
                <w:bCs/>
                <w:color w:val="000000"/>
                <w:sz w:val="20"/>
                <w:szCs w:val="20"/>
                <w:lang w:eastAsia="en-CA"/>
              </w:rPr>
              <w:fldChar w:fldCharType="begin"/>
            </w:r>
            <w:r w:rsidR="00D62A68" w:rsidRPr="006357BC">
              <w:rPr>
                <w:rFonts w:eastAsia="Times New Roman" w:cstheme="minorHAnsi"/>
                <w:b/>
                <w:bCs/>
                <w:color w:val="000000"/>
                <w:sz w:val="20"/>
                <w:szCs w:val="20"/>
                <w:lang w:eastAsia="en-CA"/>
              </w:rPr>
              <w:instrText xml:space="preserve"> NOTEREF _Ref234931629 \f \h </w:instrText>
            </w:r>
            <w:r w:rsidR="006357BC">
              <w:rPr>
                <w:rFonts w:eastAsia="Times New Roman" w:cstheme="minorHAnsi"/>
                <w:b/>
                <w:bCs/>
                <w:color w:val="000000"/>
                <w:sz w:val="20"/>
                <w:szCs w:val="20"/>
                <w:lang w:eastAsia="en-CA"/>
              </w:rPr>
              <w:instrText xml:space="preserve"> \* MERGEFORMAT </w:instrText>
            </w:r>
            <w:r w:rsidR="00D62A68" w:rsidRPr="006357BC">
              <w:rPr>
                <w:rFonts w:eastAsia="Times New Roman" w:cstheme="minorHAnsi"/>
                <w:b/>
                <w:bCs/>
                <w:color w:val="000000"/>
                <w:sz w:val="20"/>
                <w:szCs w:val="20"/>
                <w:lang w:eastAsia="en-CA"/>
              </w:rPr>
            </w:r>
            <w:r w:rsidR="00D62A68" w:rsidRPr="006357BC">
              <w:rPr>
                <w:rFonts w:eastAsia="Times New Roman" w:cstheme="minorHAnsi"/>
                <w:b/>
                <w:bCs/>
                <w:color w:val="000000"/>
                <w:sz w:val="20"/>
                <w:szCs w:val="20"/>
                <w:lang w:eastAsia="en-CA"/>
              </w:rPr>
              <w:fldChar w:fldCharType="separate"/>
            </w:r>
            <w:r w:rsidR="00D62A68" w:rsidRPr="006357BC">
              <w:rPr>
                <w:rStyle w:val="FootnoteReference"/>
                <w:rFonts w:cstheme="minorHAnsi"/>
                <w:lang w:eastAsia="en-CA"/>
              </w:rPr>
              <w:t>9</w:t>
            </w:r>
            <w:r w:rsidR="00D62A68" w:rsidRPr="006357BC">
              <w:rPr>
                <w:rFonts w:eastAsia="Times New Roman" w:cstheme="minorHAnsi"/>
                <w:b/>
                <w:bCs/>
                <w:color w:val="000000"/>
                <w:sz w:val="20"/>
                <w:szCs w:val="20"/>
                <w:lang w:eastAsia="en-CA"/>
              </w:rPr>
              <w:fldChar w:fldCharType="end"/>
            </w:r>
            <w:r w:rsidRPr="006357BC">
              <w:rPr>
                <w:rFonts w:eastAsia="Times New Roman" w:cstheme="minorHAnsi"/>
                <w:b/>
                <w:bCs/>
                <w:color w:val="000000"/>
                <w:sz w:val="20"/>
                <w:szCs w:val="20"/>
                <w:lang w:eastAsia="en-CA"/>
              </w:rPr>
              <w:t xml:space="preserve">) </w:t>
            </w:r>
          </w:p>
        </w:tc>
        <w:tc>
          <w:tcPr>
            <w:tcW w:w="6033" w:type="dxa"/>
            <w:gridSpan w:val="3"/>
            <w:tcBorders>
              <w:top w:val="single" w:sz="4" w:space="0" w:color="auto"/>
              <w:left w:val="nil"/>
              <w:bottom w:val="single" w:sz="4" w:space="0" w:color="auto"/>
              <w:right w:val="single" w:sz="4" w:space="0" w:color="auto"/>
            </w:tcBorders>
            <w:vAlign w:val="center"/>
            <w:hideMark/>
          </w:tcPr>
          <w:p w14:paraId="0F4AAE8A" w14:textId="0D90AD4B" w:rsidR="00A15EDE" w:rsidRPr="006357BC" w:rsidRDefault="00A15EDE" w:rsidP="00F928BC">
            <w:pPr>
              <w:spacing w:after="0" w:line="240" w:lineRule="auto"/>
              <w:jc w:val="center"/>
              <w:rPr>
                <w:rFonts w:eastAsia="Times New Roman" w:cstheme="minorHAnsi"/>
                <w:b/>
                <w:bCs/>
                <w:color w:val="000000"/>
                <w:sz w:val="20"/>
                <w:szCs w:val="20"/>
                <w:lang w:eastAsia="en-CA"/>
              </w:rPr>
            </w:pPr>
            <w:r w:rsidRPr="006357BC">
              <w:rPr>
                <w:rFonts w:eastAsia="Times New Roman" w:cstheme="minorHAnsi"/>
                <w:b/>
                <w:bCs/>
                <w:color w:val="000000"/>
                <w:sz w:val="20"/>
                <w:szCs w:val="20"/>
                <w:lang w:eastAsia="en-CA"/>
              </w:rPr>
              <w:t xml:space="preserve"> Split </w:t>
            </w:r>
            <w:r w:rsidR="002E3EA1">
              <w:rPr>
                <w:rFonts w:eastAsia="Times New Roman" w:cstheme="minorHAnsi"/>
                <w:b/>
                <w:bCs/>
                <w:color w:val="000000"/>
                <w:sz w:val="20"/>
                <w:szCs w:val="20"/>
                <w:lang w:eastAsia="en-CA"/>
              </w:rPr>
              <w:t>o</w:t>
            </w:r>
            <w:r w:rsidRPr="006357BC">
              <w:rPr>
                <w:rFonts w:eastAsia="Times New Roman" w:cstheme="minorHAnsi"/>
                <w:b/>
                <w:bCs/>
                <w:color w:val="000000"/>
                <w:sz w:val="20"/>
                <w:szCs w:val="20"/>
                <w:lang w:eastAsia="en-CA"/>
              </w:rPr>
              <w:t xml:space="preserve">wnership of </w:t>
            </w:r>
            <w:r w:rsidR="006357BC">
              <w:rPr>
                <w:rFonts w:eastAsia="Times New Roman" w:cstheme="minorHAnsi"/>
                <w:b/>
                <w:bCs/>
                <w:color w:val="000000"/>
                <w:sz w:val="20"/>
                <w:szCs w:val="20"/>
                <w:lang w:eastAsia="en-CA"/>
              </w:rPr>
              <w:t>value</w:t>
            </w:r>
          </w:p>
        </w:tc>
      </w:tr>
      <w:tr w:rsidR="00A15EDE" w:rsidRPr="006357BC" w14:paraId="0A51A05E"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63D0EA2A" w14:textId="272F2D45" w:rsidR="00A15EDE" w:rsidRPr="006357BC" w:rsidRDefault="00A15EDE" w:rsidP="00F928BC">
            <w:pPr>
              <w:spacing w:after="0" w:line="240" w:lineRule="auto"/>
              <w:rPr>
                <w:rFonts w:eastAsia="Times New Roman" w:cstheme="minorHAnsi"/>
                <w:b/>
                <w:bCs/>
                <w:color w:val="000000"/>
                <w:sz w:val="20"/>
                <w:szCs w:val="20"/>
                <w:lang w:eastAsia="en-CA"/>
              </w:rPr>
            </w:pPr>
            <w:r w:rsidRPr="006357BC">
              <w:rPr>
                <w:rFonts w:eastAsia="Times New Roman" w:cstheme="minorHAnsi"/>
                <w:b/>
                <w:bCs/>
                <w:color w:val="000000"/>
                <w:sz w:val="20"/>
                <w:szCs w:val="20"/>
                <w:lang w:eastAsia="en-CA"/>
              </w:rPr>
              <w:t> </w:t>
            </w:r>
            <w:r w:rsidR="006357BC" w:rsidRPr="006357BC">
              <w:rPr>
                <w:rFonts w:eastAsia="Times New Roman" w:cstheme="minorHAnsi"/>
                <w:b/>
                <w:bCs/>
                <w:color w:val="000000"/>
                <w:sz w:val="20"/>
                <w:szCs w:val="20"/>
                <w:lang w:eastAsia="en-CA"/>
              </w:rPr>
              <w:t>Year</w:t>
            </w:r>
          </w:p>
        </w:tc>
        <w:tc>
          <w:tcPr>
            <w:tcW w:w="1846" w:type="dxa"/>
            <w:tcBorders>
              <w:top w:val="nil"/>
              <w:left w:val="nil"/>
              <w:bottom w:val="single" w:sz="4" w:space="0" w:color="auto"/>
              <w:right w:val="single" w:sz="4" w:space="0" w:color="auto"/>
            </w:tcBorders>
            <w:noWrap/>
            <w:vAlign w:val="bottom"/>
            <w:hideMark/>
          </w:tcPr>
          <w:p w14:paraId="60B4449E" w14:textId="77777777" w:rsidR="00A15EDE" w:rsidRPr="006357BC" w:rsidRDefault="00A15EDE" w:rsidP="00F928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 </w:t>
            </w:r>
          </w:p>
        </w:tc>
        <w:tc>
          <w:tcPr>
            <w:tcW w:w="1321" w:type="dxa"/>
            <w:tcBorders>
              <w:top w:val="nil"/>
              <w:left w:val="nil"/>
              <w:bottom w:val="single" w:sz="4" w:space="0" w:color="auto"/>
              <w:right w:val="single" w:sz="4" w:space="0" w:color="auto"/>
            </w:tcBorders>
            <w:noWrap/>
            <w:vAlign w:val="center"/>
            <w:hideMark/>
          </w:tcPr>
          <w:p w14:paraId="7EB948CC" w14:textId="77777777" w:rsidR="00A15EDE" w:rsidRPr="006357BC" w:rsidRDefault="00A15EDE" w:rsidP="006357BC">
            <w:pPr>
              <w:spacing w:after="0" w:line="240" w:lineRule="auto"/>
              <w:jc w:val="right"/>
              <w:rPr>
                <w:rFonts w:eastAsia="Times New Roman" w:cstheme="minorHAnsi"/>
                <w:b/>
                <w:bCs/>
                <w:color w:val="000000"/>
                <w:sz w:val="20"/>
                <w:szCs w:val="20"/>
                <w:lang w:eastAsia="en-CA"/>
              </w:rPr>
            </w:pPr>
            <w:r w:rsidRPr="006357BC">
              <w:rPr>
                <w:rFonts w:eastAsia="Times New Roman" w:cstheme="minorHAnsi"/>
                <w:b/>
                <w:bCs/>
                <w:color w:val="000000"/>
                <w:sz w:val="20"/>
                <w:szCs w:val="20"/>
                <w:lang w:eastAsia="en-CA"/>
              </w:rPr>
              <w:t>Federal</w:t>
            </w:r>
          </w:p>
        </w:tc>
        <w:tc>
          <w:tcPr>
            <w:tcW w:w="2553" w:type="dxa"/>
            <w:tcBorders>
              <w:top w:val="nil"/>
              <w:left w:val="nil"/>
              <w:bottom w:val="single" w:sz="4" w:space="0" w:color="auto"/>
              <w:right w:val="single" w:sz="4" w:space="0" w:color="auto"/>
            </w:tcBorders>
            <w:noWrap/>
            <w:vAlign w:val="center"/>
            <w:hideMark/>
          </w:tcPr>
          <w:p w14:paraId="252AAD6D" w14:textId="0FC97F4C" w:rsidR="00A15EDE" w:rsidRPr="006357BC" w:rsidRDefault="00A15EDE" w:rsidP="006357BC">
            <w:pPr>
              <w:spacing w:after="0" w:line="240" w:lineRule="auto"/>
              <w:jc w:val="right"/>
              <w:rPr>
                <w:rFonts w:eastAsia="Times New Roman" w:cstheme="minorHAnsi"/>
                <w:b/>
                <w:bCs/>
                <w:color w:val="000000"/>
                <w:sz w:val="20"/>
                <w:szCs w:val="20"/>
                <w:lang w:eastAsia="en-CA"/>
              </w:rPr>
            </w:pPr>
            <w:r w:rsidRPr="006357BC">
              <w:rPr>
                <w:rFonts w:eastAsia="Times New Roman" w:cstheme="minorHAnsi"/>
                <w:b/>
                <w:bCs/>
                <w:color w:val="000000"/>
                <w:sz w:val="20"/>
                <w:szCs w:val="20"/>
                <w:lang w:eastAsia="en-CA"/>
              </w:rPr>
              <w:t>Provincial</w:t>
            </w:r>
            <w:r w:rsidR="0043246B" w:rsidRPr="006357BC">
              <w:rPr>
                <w:rFonts w:eastAsia="Times New Roman" w:cstheme="minorHAnsi"/>
                <w:b/>
                <w:bCs/>
                <w:color w:val="000000"/>
                <w:sz w:val="20"/>
                <w:szCs w:val="20"/>
                <w:lang w:eastAsia="en-CA"/>
              </w:rPr>
              <w:t>/Territorial</w:t>
            </w:r>
          </w:p>
        </w:tc>
        <w:tc>
          <w:tcPr>
            <w:tcW w:w="2159" w:type="dxa"/>
            <w:tcBorders>
              <w:top w:val="nil"/>
              <w:left w:val="nil"/>
              <w:bottom w:val="single" w:sz="4" w:space="0" w:color="auto"/>
              <w:right w:val="single" w:sz="4" w:space="0" w:color="auto"/>
            </w:tcBorders>
            <w:noWrap/>
            <w:vAlign w:val="center"/>
            <w:hideMark/>
          </w:tcPr>
          <w:p w14:paraId="714BF70D" w14:textId="231D0940" w:rsidR="00A15EDE" w:rsidRPr="006357BC" w:rsidRDefault="00A15EDE" w:rsidP="006357BC">
            <w:pPr>
              <w:spacing w:after="0" w:line="240" w:lineRule="auto"/>
              <w:jc w:val="right"/>
              <w:rPr>
                <w:rFonts w:eastAsia="Times New Roman" w:cstheme="minorHAnsi"/>
                <w:b/>
                <w:bCs/>
                <w:color w:val="000000"/>
                <w:sz w:val="20"/>
                <w:szCs w:val="20"/>
                <w:lang w:eastAsia="en-CA"/>
              </w:rPr>
            </w:pPr>
            <w:r w:rsidRPr="006357BC">
              <w:rPr>
                <w:rFonts w:eastAsia="Times New Roman" w:cstheme="minorHAnsi"/>
                <w:b/>
                <w:bCs/>
                <w:color w:val="000000"/>
                <w:sz w:val="20"/>
                <w:szCs w:val="20"/>
                <w:lang w:eastAsia="en-CA"/>
              </w:rPr>
              <w:t>Corporat</w:t>
            </w:r>
            <w:r w:rsidR="00D94E46">
              <w:rPr>
                <w:rFonts w:eastAsia="Times New Roman" w:cstheme="minorHAnsi"/>
                <w:b/>
                <w:bCs/>
                <w:color w:val="000000"/>
                <w:sz w:val="20"/>
                <w:szCs w:val="20"/>
                <w:lang w:eastAsia="en-CA"/>
              </w:rPr>
              <w:t>ion</w:t>
            </w:r>
          </w:p>
        </w:tc>
      </w:tr>
      <w:tr w:rsidR="006357BC" w:rsidRPr="006357BC" w14:paraId="54F7DEA7" w14:textId="77777777" w:rsidTr="004010A9">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7881E653" w14:textId="77777777" w:rsidR="006357BC" w:rsidRPr="006357BC" w:rsidRDefault="006357BC" w:rsidP="00F928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 </w:t>
            </w:r>
          </w:p>
        </w:tc>
        <w:tc>
          <w:tcPr>
            <w:tcW w:w="7879" w:type="dxa"/>
            <w:gridSpan w:val="4"/>
            <w:tcBorders>
              <w:top w:val="nil"/>
              <w:left w:val="nil"/>
              <w:bottom w:val="single" w:sz="4" w:space="0" w:color="auto"/>
              <w:right w:val="single" w:sz="4" w:space="0" w:color="auto"/>
            </w:tcBorders>
            <w:noWrap/>
            <w:vAlign w:val="bottom"/>
            <w:hideMark/>
          </w:tcPr>
          <w:p w14:paraId="044B39DF" w14:textId="0721A9FA" w:rsidR="006357BC" w:rsidRPr="006357BC" w:rsidRDefault="006357BC" w:rsidP="00C32D45">
            <w:pPr>
              <w:spacing w:after="0" w:line="240" w:lineRule="auto"/>
              <w:jc w:val="center"/>
              <w:rPr>
                <w:rFonts w:eastAsia="Times New Roman" w:cstheme="minorHAnsi"/>
                <w:color w:val="000000"/>
                <w:sz w:val="20"/>
                <w:szCs w:val="20"/>
                <w:lang w:eastAsia="en-CA"/>
              </w:rPr>
            </w:pPr>
            <w:r>
              <w:rPr>
                <w:rFonts w:eastAsia="Times New Roman" w:cstheme="minorHAnsi"/>
                <w:color w:val="000000"/>
                <w:sz w:val="20"/>
                <w:szCs w:val="20"/>
                <w:lang w:eastAsia="en-CA"/>
              </w:rPr>
              <w:t>millions of Canadian dollars</w:t>
            </w:r>
          </w:p>
        </w:tc>
      </w:tr>
      <w:tr w:rsidR="00A15EDE" w:rsidRPr="006357BC" w14:paraId="6127805B"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442580D0"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2010</w:t>
            </w:r>
          </w:p>
        </w:tc>
        <w:tc>
          <w:tcPr>
            <w:tcW w:w="1846" w:type="dxa"/>
            <w:tcBorders>
              <w:top w:val="nil"/>
              <w:left w:val="nil"/>
              <w:bottom w:val="single" w:sz="4" w:space="0" w:color="auto"/>
              <w:right w:val="single" w:sz="4" w:space="0" w:color="auto"/>
            </w:tcBorders>
            <w:noWrap/>
            <w:vAlign w:val="bottom"/>
            <w:hideMark/>
          </w:tcPr>
          <w:p w14:paraId="6DCB84BA"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15,357</w:t>
            </w:r>
          </w:p>
        </w:tc>
        <w:tc>
          <w:tcPr>
            <w:tcW w:w="1321" w:type="dxa"/>
            <w:tcBorders>
              <w:top w:val="nil"/>
              <w:left w:val="nil"/>
              <w:bottom w:val="single" w:sz="4" w:space="0" w:color="auto"/>
              <w:right w:val="single" w:sz="4" w:space="0" w:color="auto"/>
            </w:tcBorders>
            <w:noWrap/>
            <w:vAlign w:val="bottom"/>
            <w:hideMark/>
          </w:tcPr>
          <w:p w14:paraId="33AFB341"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767C9CCD"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175</w:t>
            </w:r>
          </w:p>
        </w:tc>
        <w:tc>
          <w:tcPr>
            <w:tcW w:w="2159" w:type="dxa"/>
            <w:tcBorders>
              <w:top w:val="nil"/>
              <w:left w:val="nil"/>
              <w:bottom w:val="single" w:sz="4" w:space="0" w:color="auto"/>
              <w:right w:val="single" w:sz="4" w:space="0" w:color="auto"/>
            </w:tcBorders>
            <w:noWrap/>
            <w:vAlign w:val="bottom"/>
            <w:hideMark/>
          </w:tcPr>
          <w:p w14:paraId="25985CA9"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15,181</w:t>
            </w:r>
          </w:p>
        </w:tc>
      </w:tr>
      <w:tr w:rsidR="00A15EDE" w:rsidRPr="006357BC" w14:paraId="22749754"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43740F68"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2011</w:t>
            </w:r>
          </w:p>
        </w:tc>
        <w:tc>
          <w:tcPr>
            <w:tcW w:w="1846" w:type="dxa"/>
            <w:tcBorders>
              <w:top w:val="nil"/>
              <w:left w:val="nil"/>
              <w:bottom w:val="single" w:sz="4" w:space="0" w:color="auto"/>
              <w:right w:val="single" w:sz="4" w:space="0" w:color="auto"/>
            </w:tcBorders>
            <w:noWrap/>
            <w:vAlign w:val="bottom"/>
            <w:hideMark/>
          </w:tcPr>
          <w:p w14:paraId="567FD548"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18,502</w:t>
            </w:r>
          </w:p>
        </w:tc>
        <w:tc>
          <w:tcPr>
            <w:tcW w:w="1321" w:type="dxa"/>
            <w:tcBorders>
              <w:top w:val="nil"/>
              <w:left w:val="nil"/>
              <w:bottom w:val="single" w:sz="4" w:space="0" w:color="auto"/>
              <w:right w:val="single" w:sz="4" w:space="0" w:color="auto"/>
            </w:tcBorders>
            <w:noWrap/>
            <w:vAlign w:val="bottom"/>
            <w:hideMark/>
          </w:tcPr>
          <w:p w14:paraId="01261675"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2D383E2D"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164</w:t>
            </w:r>
          </w:p>
        </w:tc>
        <w:tc>
          <w:tcPr>
            <w:tcW w:w="2159" w:type="dxa"/>
            <w:tcBorders>
              <w:top w:val="nil"/>
              <w:left w:val="nil"/>
              <w:bottom w:val="single" w:sz="4" w:space="0" w:color="auto"/>
              <w:right w:val="single" w:sz="4" w:space="0" w:color="auto"/>
            </w:tcBorders>
            <w:noWrap/>
            <w:vAlign w:val="bottom"/>
            <w:hideMark/>
          </w:tcPr>
          <w:p w14:paraId="61B61C9D"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18,338</w:t>
            </w:r>
          </w:p>
        </w:tc>
      </w:tr>
      <w:tr w:rsidR="00A15EDE" w:rsidRPr="006357BC" w14:paraId="28CE497E"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6DDE3D0A"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2012</w:t>
            </w:r>
          </w:p>
        </w:tc>
        <w:tc>
          <w:tcPr>
            <w:tcW w:w="1846" w:type="dxa"/>
            <w:tcBorders>
              <w:top w:val="nil"/>
              <w:left w:val="nil"/>
              <w:bottom w:val="single" w:sz="4" w:space="0" w:color="auto"/>
              <w:right w:val="single" w:sz="4" w:space="0" w:color="auto"/>
            </w:tcBorders>
            <w:noWrap/>
            <w:vAlign w:val="bottom"/>
            <w:hideMark/>
          </w:tcPr>
          <w:p w14:paraId="01D8AC70"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12,001</w:t>
            </w:r>
          </w:p>
        </w:tc>
        <w:tc>
          <w:tcPr>
            <w:tcW w:w="1321" w:type="dxa"/>
            <w:tcBorders>
              <w:top w:val="nil"/>
              <w:left w:val="nil"/>
              <w:bottom w:val="single" w:sz="4" w:space="0" w:color="auto"/>
              <w:right w:val="single" w:sz="4" w:space="0" w:color="auto"/>
            </w:tcBorders>
            <w:noWrap/>
            <w:vAlign w:val="bottom"/>
            <w:hideMark/>
          </w:tcPr>
          <w:p w14:paraId="705BE547"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1077D586"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109</w:t>
            </w:r>
          </w:p>
        </w:tc>
        <w:tc>
          <w:tcPr>
            <w:tcW w:w="2159" w:type="dxa"/>
            <w:tcBorders>
              <w:top w:val="nil"/>
              <w:left w:val="nil"/>
              <w:bottom w:val="single" w:sz="4" w:space="0" w:color="auto"/>
              <w:right w:val="single" w:sz="4" w:space="0" w:color="auto"/>
            </w:tcBorders>
            <w:noWrap/>
            <w:vAlign w:val="bottom"/>
            <w:hideMark/>
          </w:tcPr>
          <w:p w14:paraId="6047427B"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11,893</w:t>
            </w:r>
          </w:p>
        </w:tc>
      </w:tr>
      <w:tr w:rsidR="00A15EDE" w:rsidRPr="006357BC" w14:paraId="3A729F96"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0CE63454"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2013</w:t>
            </w:r>
          </w:p>
        </w:tc>
        <w:tc>
          <w:tcPr>
            <w:tcW w:w="1846" w:type="dxa"/>
            <w:tcBorders>
              <w:top w:val="nil"/>
              <w:left w:val="nil"/>
              <w:bottom w:val="single" w:sz="4" w:space="0" w:color="auto"/>
              <w:right w:val="single" w:sz="4" w:space="0" w:color="auto"/>
            </w:tcBorders>
            <w:noWrap/>
            <w:vAlign w:val="bottom"/>
            <w:hideMark/>
          </w:tcPr>
          <w:p w14:paraId="76722DEA"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1321" w:type="dxa"/>
            <w:tcBorders>
              <w:top w:val="nil"/>
              <w:left w:val="nil"/>
              <w:bottom w:val="single" w:sz="4" w:space="0" w:color="auto"/>
              <w:right w:val="single" w:sz="4" w:space="0" w:color="auto"/>
            </w:tcBorders>
            <w:noWrap/>
            <w:vAlign w:val="bottom"/>
            <w:hideMark/>
          </w:tcPr>
          <w:p w14:paraId="15585B14"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79AAC57C"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159" w:type="dxa"/>
            <w:tcBorders>
              <w:top w:val="nil"/>
              <w:left w:val="nil"/>
              <w:bottom w:val="single" w:sz="4" w:space="0" w:color="auto"/>
              <w:right w:val="single" w:sz="4" w:space="0" w:color="auto"/>
            </w:tcBorders>
            <w:noWrap/>
            <w:vAlign w:val="bottom"/>
            <w:hideMark/>
          </w:tcPr>
          <w:p w14:paraId="2767213B"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r>
      <w:tr w:rsidR="00A15EDE" w:rsidRPr="006357BC" w14:paraId="251CAEAE"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5A611E73"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2014</w:t>
            </w:r>
          </w:p>
        </w:tc>
        <w:tc>
          <w:tcPr>
            <w:tcW w:w="1846" w:type="dxa"/>
            <w:tcBorders>
              <w:top w:val="nil"/>
              <w:left w:val="nil"/>
              <w:bottom w:val="single" w:sz="4" w:space="0" w:color="auto"/>
              <w:right w:val="single" w:sz="4" w:space="0" w:color="auto"/>
            </w:tcBorders>
            <w:noWrap/>
            <w:vAlign w:val="bottom"/>
            <w:hideMark/>
          </w:tcPr>
          <w:p w14:paraId="5AD9FD43"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2,469</w:t>
            </w:r>
          </w:p>
        </w:tc>
        <w:tc>
          <w:tcPr>
            <w:tcW w:w="1321" w:type="dxa"/>
            <w:tcBorders>
              <w:top w:val="nil"/>
              <w:left w:val="nil"/>
              <w:bottom w:val="single" w:sz="4" w:space="0" w:color="auto"/>
              <w:right w:val="single" w:sz="4" w:space="0" w:color="auto"/>
            </w:tcBorders>
            <w:noWrap/>
            <w:vAlign w:val="bottom"/>
            <w:hideMark/>
          </w:tcPr>
          <w:p w14:paraId="77D5EB39"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64ADDB85"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32</w:t>
            </w:r>
          </w:p>
        </w:tc>
        <w:tc>
          <w:tcPr>
            <w:tcW w:w="2159" w:type="dxa"/>
            <w:tcBorders>
              <w:top w:val="nil"/>
              <w:left w:val="nil"/>
              <w:bottom w:val="single" w:sz="4" w:space="0" w:color="auto"/>
              <w:right w:val="single" w:sz="4" w:space="0" w:color="auto"/>
            </w:tcBorders>
            <w:noWrap/>
            <w:vAlign w:val="bottom"/>
            <w:hideMark/>
          </w:tcPr>
          <w:p w14:paraId="7CCB7A38"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2,437</w:t>
            </w:r>
          </w:p>
        </w:tc>
      </w:tr>
      <w:tr w:rsidR="00A15EDE" w:rsidRPr="006357BC" w14:paraId="1BF85184"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58661842"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2015</w:t>
            </w:r>
          </w:p>
        </w:tc>
        <w:tc>
          <w:tcPr>
            <w:tcW w:w="1846" w:type="dxa"/>
            <w:tcBorders>
              <w:top w:val="nil"/>
              <w:left w:val="nil"/>
              <w:bottom w:val="single" w:sz="4" w:space="0" w:color="auto"/>
              <w:right w:val="single" w:sz="4" w:space="0" w:color="auto"/>
            </w:tcBorders>
            <w:noWrap/>
            <w:vAlign w:val="bottom"/>
            <w:hideMark/>
          </w:tcPr>
          <w:p w14:paraId="5FBD8E04"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6,977</w:t>
            </w:r>
          </w:p>
        </w:tc>
        <w:tc>
          <w:tcPr>
            <w:tcW w:w="1321" w:type="dxa"/>
            <w:tcBorders>
              <w:top w:val="nil"/>
              <w:left w:val="nil"/>
              <w:bottom w:val="single" w:sz="4" w:space="0" w:color="auto"/>
              <w:right w:val="single" w:sz="4" w:space="0" w:color="auto"/>
            </w:tcBorders>
            <w:noWrap/>
            <w:vAlign w:val="bottom"/>
            <w:hideMark/>
          </w:tcPr>
          <w:p w14:paraId="05FE1AD4"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0057F5A9"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99</w:t>
            </w:r>
          </w:p>
        </w:tc>
        <w:tc>
          <w:tcPr>
            <w:tcW w:w="2159" w:type="dxa"/>
            <w:tcBorders>
              <w:top w:val="nil"/>
              <w:left w:val="nil"/>
              <w:bottom w:val="single" w:sz="4" w:space="0" w:color="auto"/>
              <w:right w:val="single" w:sz="4" w:space="0" w:color="auto"/>
            </w:tcBorders>
            <w:noWrap/>
            <w:vAlign w:val="bottom"/>
            <w:hideMark/>
          </w:tcPr>
          <w:p w14:paraId="4978022D"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6,878</w:t>
            </w:r>
          </w:p>
        </w:tc>
      </w:tr>
      <w:tr w:rsidR="00A15EDE" w:rsidRPr="006357BC" w14:paraId="15C73B66"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205BFCA9"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2016</w:t>
            </w:r>
          </w:p>
        </w:tc>
        <w:tc>
          <w:tcPr>
            <w:tcW w:w="1846" w:type="dxa"/>
            <w:tcBorders>
              <w:top w:val="nil"/>
              <w:left w:val="nil"/>
              <w:bottom w:val="single" w:sz="4" w:space="0" w:color="auto"/>
              <w:right w:val="single" w:sz="4" w:space="0" w:color="auto"/>
            </w:tcBorders>
            <w:noWrap/>
            <w:vAlign w:val="bottom"/>
            <w:hideMark/>
          </w:tcPr>
          <w:p w14:paraId="03F8B2B8"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12,087</w:t>
            </w:r>
          </w:p>
        </w:tc>
        <w:tc>
          <w:tcPr>
            <w:tcW w:w="1321" w:type="dxa"/>
            <w:tcBorders>
              <w:top w:val="nil"/>
              <w:left w:val="nil"/>
              <w:bottom w:val="single" w:sz="4" w:space="0" w:color="auto"/>
              <w:right w:val="single" w:sz="4" w:space="0" w:color="auto"/>
            </w:tcBorders>
            <w:noWrap/>
            <w:vAlign w:val="bottom"/>
            <w:hideMark/>
          </w:tcPr>
          <w:p w14:paraId="76ECEFB8"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7AB54C7E"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175</w:t>
            </w:r>
          </w:p>
        </w:tc>
        <w:tc>
          <w:tcPr>
            <w:tcW w:w="2159" w:type="dxa"/>
            <w:tcBorders>
              <w:top w:val="nil"/>
              <w:left w:val="nil"/>
              <w:bottom w:val="single" w:sz="4" w:space="0" w:color="auto"/>
              <w:right w:val="single" w:sz="4" w:space="0" w:color="auto"/>
            </w:tcBorders>
            <w:noWrap/>
            <w:vAlign w:val="bottom"/>
            <w:hideMark/>
          </w:tcPr>
          <w:p w14:paraId="18447849"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11,913</w:t>
            </w:r>
          </w:p>
        </w:tc>
      </w:tr>
      <w:tr w:rsidR="00A15EDE" w:rsidRPr="006357BC" w14:paraId="33DC12EA"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173E7859"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2017</w:t>
            </w:r>
          </w:p>
        </w:tc>
        <w:tc>
          <w:tcPr>
            <w:tcW w:w="1846" w:type="dxa"/>
            <w:tcBorders>
              <w:top w:val="nil"/>
              <w:left w:val="nil"/>
              <w:bottom w:val="single" w:sz="4" w:space="0" w:color="auto"/>
              <w:right w:val="single" w:sz="4" w:space="0" w:color="auto"/>
            </w:tcBorders>
            <w:noWrap/>
            <w:vAlign w:val="bottom"/>
            <w:hideMark/>
          </w:tcPr>
          <w:p w14:paraId="529B9BF6"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15,667</w:t>
            </w:r>
          </w:p>
        </w:tc>
        <w:tc>
          <w:tcPr>
            <w:tcW w:w="1321" w:type="dxa"/>
            <w:tcBorders>
              <w:top w:val="nil"/>
              <w:left w:val="nil"/>
              <w:bottom w:val="single" w:sz="4" w:space="0" w:color="auto"/>
              <w:right w:val="single" w:sz="4" w:space="0" w:color="auto"/>
            </w:tcBorders>
            <w:noWrap/>
            <w:vAlign w:val="bottom"/>
            <w:hideMark/>
          </w:tcPr>
          <w:p w14:paraId="36BB1DF6"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437927EE"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179</w:t>
            </w:r>
          </w:p>
        </w:tc>
        <w:tc>
          <w:tcPr>
            <w:tcW w:w="2159" w:type="dxa"/>
            <w:tcBorders>
              <w:top w:val="nil"/>
              <w:left w:val="nil"/>
              <w:bottom w:val="single" w:sz="4" w:space="0" w:color="auto"/>
              <w:right w:val="single" w:sz="4" w:space="0" w:color="auto"/>
            </w:tcBorders>
            <w:noWrap/>
            <w:vAlign w:val="bottom"/>
            <w:hideMark/>
          </w:tcPr>
          <w:p w14:paraId="19FDACD4"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15,488</w:t>
            </w:r>
          </w:p>
        </w:tc>
      </w:tr>
      <w:tr w:rsidR="00A15EDE" w:rsidRPr="006357BC" w14:paraId="13530743" w14:textId="77777777" w:rsidTr="00A15EDE">
        <w:trPr>
          <w:trHeight w:val="249"/>
          <w:jc w:val="center"/>
        </w:trPr>
        <w:tc>
          <w:tcPr>
            <w:tcW w:w="1420" w:type="dxa"/>
            <w:tcBorders>
              <w:top w:val="nil"/>
              <w:left w:val="single" w:sz="4" w:space="0" w:color="auto"/>
              <w:bottom w:val="single" w:sz="4" w:space="0" w:color="auto"/>
              <w:right w:val="single" w:sz="4" w:space="0" w:color="auto"/>
            </w:tcBorders>
            <w:noWrap/>
            <w:vAlign w:val="bottom"/>
            <w:hideMark/>
          </w:tcPr>
          <w:p w14:paraId="1CCE62F1"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2018</w:t>
            </w:r>
          </w:p>
        </w:tc>
        <w:tc>
          <w:tcPr>
            <w:tcW w:w="1846" w:type="dxa"/>
            <w:tcBorders>
              <w:top w:val="nil"/>
              <w:left w:val="nil"/>
              <w:bottom w:val="single" w:sz="4" w:space="0" w:color="auto"/>
              <w:right w:val="single" w:sz="4" w:space="0" w:color="auto"/>
            </w:tcBorders>
            <w:noWrap/>
            <w:vAlign w:val="bottom"/>
            <w:hideMark/>
          </w:tcPr>
          <w:p w14:paraId="34B6796A"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19,193</w:t>
            </w:r>
          </w:p>
        </w:tc>
        <w:tc>
          <w:tcPr>
            <w:tcW w:w="1321" w:type="dxa"/>
            <w:tcBorders>
              <w:top w:val="nil"/>
              <w:left w:val="nil"/>
              <w:bottom w:val="single" w:sz="4" w:space="0" w:color="auto"/>
              <w:right w:val="single" w:sz="4" w:space="0" w:color="auto"/>
            </w:tcBorders>
            <w:noWrap/>
            <w:vAlign w:val="bottom"/>
            <w:hideMark/>
          </w:tcPr>
          <w:p w14:paraId="575CA462"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181B2B61"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233</w:t>
            </w:r>
          </w:p>
        </w:tc>
        <w:tc>
          <w:tcPr>
            <w:tcW w:w="2159" w:type="dxa"/>
            <w:tcBorders>
              <w:top w:val="nil"/>
              <w:left w:val="nil"/>
              <w:bottom w:val="single" w:sz="4" w:space="0" w:color="auto"/>
              <w:right w:val="single" w:sz="4" w:space="0" w:color="auto"/>
            </w:tcBorders>
            <w:noWrap/>
            <w:vAlign w:val="bottom"/>
            <w:hideMark/>
          </w:tcPr>
          <w:p w14:paraId="655BF1AB"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18,961</w:t>
            </w:r>
          </w:p>
        </w:tc>
      </w:tr>
      <w:tr w:rsidR="00A15EDE" w:rsidRPr="006357BC" w14:paraId="1A03E718" w14:textId="77777777" w:rsidTr="00A15EDE">
        <w:trPr>
          <w:trHeight w:val="233"/>
          <w:jc w:val="center"/>
        </w:trPr>
        <w:tc>
          <w:tcPr>
            <w:tcW w:w="1420" w:type="dxa"/>
            <w:tcBorders>
              <w:top w:val="nil"/>
              <w:left w:val="single" w:sz="4" w:space="0" w:color="auto"/>
              <w:bottom w:val="single" w:sz="4" w:space="0" w:color="auto"/>
              <w:right w:val="single" w:sz="4" w:space="0" w:color="auto"/>
            </w:tcBorders>
            <w:noWrap/>
            <w:vAlign w:val="bottom"/>
            <w:hideMark/>
          </w:tcPr>
          <w:p w14:paraId="734A5C85"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2019</w:t>
            </w:r>
          </w:p>
        </w:tc>
        <w:tc>
          <w:tcPr>
            <w:tcW w:w="1846" w:type="dxa"/>
            <w:tcBorders>
              <w:top w:val="nil"/>
              <w:left w:val="nil"/>
              <w:bottom w:val="single" w:sz="4" w:space="0" w:color="auto"/>
              <w:right w:val="single" w:sz="4" w:space="0" w:color="auto"/>
            </w:tcBorders>
            <w:noWrap/>
            <w:vAlign w:val="bottom"/>
            <w:hideMark/>
          </w:tcPr>
          <w:p w14:paraId="06CC4997"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29,459</w:t>
            </w:r>
          </w:p>
        </w:tc>
        <w:tc>
          <w:tcPr>
            <w:tcW w:w="1321" w:type="dxa"/>
            <w:tcBorders>
              <w:top w:val="nil"/>
              <w:left w:val="nil"/>
              <w:bottom w:val="single" w:sz="4" w:space="0" w:color="auto"/>
              <w:right w:val="single" w:sz="4" w:space="0" w:color="auto"/>
            </w:tcBorders>
            <w:noWrap/>
            <w:vAlign w:val="bottom"/>
            <w:hideMark/>
          </w:tcPr>
          <w:p w14:paraId="662FCF4A"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533034E1"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396</w:t>
            </w:r>
          </w:p>
        </w:tc>
        <w:tc>
          <w:tcPr>
            <w:tcW w:w="2159" w:type="dxa"/>
            <w:tcBorders>
              <w:top w:val="nil"/>
              <w:left w:val="nil"/>
              <w:bottom w:val="single" w:sz="4" w:space="0" w:color="auto"/>
              <w:right w:val="single" w:sz="4" w:space="0" w:color="auto"/>
            </w:tcBorders>
            <w:noWrap/>
            <w:vAlign w:val="bottom"/>
            <w:hideMark/>
          </w:tcPr>
          <w:p w14:paraId="7B698443"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29,063</w:t>
            </w:r>
          </w:p>
        </w:tc>
      </w:tr>
      <w:tr w:rsidR="00A15EDE" w:rsidRPr="006357BC" w14:paraId="0F1EE196" w14:textId="77777777" w:rsidTr="00A15EDE">
        <w:trPr>
          <w:trHeight w:val="240"/>
          <w:jc w:val="center"/>
        </w:trPr>
        <w:tc>
          <w:tcPr>
            <w:tcW w:w="1420" w:type="dxa"/>
            <w:tcBorders>
              <w:top w:val="nil"/>
              <w:left w:val="single" w:sz="4" w:space="0" w:color="auto"/>
              <w:bottom w:val="single" w:sz="4" w:space="0" w:color="auto"/>
              <w:right w:val="single" w:sz="4" w:space="0" w:color="auto"/>
            </w:tcBorders>
            <w:noWrap/>
            <w:vAlign w:val="bottom"/>
            <w:hideMark/>
          </w:tcPr>
          <w:p w14:paraId="22C534CD" w14:textId="77777777" w:rsidR="00A15EDE" w:rsidRPr="006357BC" w:rsidRDefault="00A15EDE" w:rsidP="006357BC">
            <w:pPr>
              <w:spacing w:after="0" w:line="240" w:lineRule="auto"/>
              <w:rPr>
                <w:rFonts w:eastAsia="Times New Roman" w:cstheme="minorHAnsi"/>
                <w:color w:val="000000"/>
                <w:sz w:val="20"/>
                <w:szCs w:val="20"/>
                <w:lang w:eastAsia="en-CA"/>
              </w:rPr>
            </w:pPr>
            <w:r w:rsidRPr="006357BC">
              <w:rPr>
                <w:rFonts w:eastAsia="Times New Roman" w:cstheme="minorHAnsi"/>
                <w:color w:val="000000"/>
                <w:sz w:val="20"/>
                <w:szCs w:val="20"/>
                <w:lang w:eastAsia="en-CA"/>
              </w:rPr>
              <w:t>2020</w:t>
            </w:r>
          </w:p>
        </w:tc>
        <w:tc>
          <w:tcPr>
            <w:tcW w:w="1846" w:type="dxa"/>
            <w:tcBorders>
              <w:top w:val="nil"/>
              <w:left w:val="nil"/>
              <w:bottom w:val="single" w:sz="4" w:space="0" w:color="auto"/>
              <w:right w:val="single" w:sz="4" w:space="0" w:color="auto"/>
            </w:tcBorders>
            <w:noWrap/>
            <w:vAlign w:val="bottom"/>
            <w:hideMark/>
          </w:tcPr>
          <w:p w14:paraId="02874EFA"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73,198</w:t>
            </w:r>
          </w:p>
        </w:tc>
        <w:tc>
          <w:tcPr>
            <w:tcW w:w="1321" w:type="dxa"/>
            <w:tcBorders>
              <w:top w:val="nil"/>
              <w:left w:val="nil"/>
              <w:bottom w:val="single" w:sz="4" w:space="0" w:color="auto"/>
              <w:right w:val="single" w:sz="4" w:space="0" w:color="auto"/>
            </w:tcBorders>
            <w:noWrap/>
            <w:vAlign w:val="bottom"/>
            <w:hideMark/>
          </w:tcPr>
          <w:p w14:paraId="1BED90A2"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0</w:t>
            </w:r>
          </w:p>
        </w:tc>
        <w:tc>
          <w:tcPr>
            <w:tcW w:w="2553" w:type="dxa"/>
            <w:tcBorders>
              <w:top w:val="nil"/>
              <w:left w:val="nil"/>
              <w:bottom w:val="single" w:sz="4" w:space="0" w:color="auto"/>
              <w:right w:val="single" w:sz="4" w:space="0" w:color="auto"/>
            </w:tcBorders>
            <w:noWrap/>
            <w:vAlign w:val="bottom"/>
            <w:hideMark/>
          </w:tcPr>
          <w:p w14:paraId="03D25918"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782</w:t>
            </w:r>
          </w:p>
        </w:tc>
        <w:tc>
          <w:tcPr>
            <w:tcW w:w="2159" w:type="dxa"/>
            <w:tcBorders>
              <w:top w:val="nil"/>
              <w:left w:val="nil"/>
              <w:bottom w:val="single" w:sz="4" w:space="0" w:color="auto"/>
              <w:right w:val="single" w:sz="4" w:space="0" w:color="auto"/>
            </w:tcBorders>
            <w:noWrap/>
            <w:vAlign w:val="bottom"/>
            <w:hideMark/>
          </w:tcPr>
          <w:p w14:paraId="37B0A7B7" w14:textId="77777777" w:rsidR="00A15EDE" w:rsidRPr="006357BC" w:rsidRDefault="00A15EDE" w:rsidP="006357BC">
            <w:pPr>
              <w:spacing w:after="0" w:line="240" w:lineRule="auto"/>
              <w:jc w:val="right"/>
              <w:rPr>
                <w:rFonts w:eastAsia="Times New Roman" w:cstheme="minorHAnsi"/>
                <w:color w:val="000000"/>
                <w:sz w:val="20"/>
                <w:szCs w:val="20"/>
                <w:lang w:eastAsia="en-CA"/>
              </w:rPr>
            </w:pPr>
            <w:r w:rsidRPr="006357BC">
              <w:rPr>
                <w:rFonts w:eastAsia="Times New Roman" w:cstheme="minorHAnsi"/>
                <w:color w:val="000000"/>
                <w:sz w:val="20"/>
                <w:szCs w:val="20"/>
                <w:lang w:eastAsia="en-CA"/>
              </w:rPr>
              <w:t>72,416</w:t>
            </w:r>
          </w:p>
        </w:tc>
      </w:tr>
    </w:tbl>
    <w:p w14:paraId="60AA1B73" w14:textId="77777777" w:rsidR="00ED1913" w:rsidRPr="008E565D" w:rsidRDefault="00D8142A" w:rsidP="00ED1913">
      <w:pPr>
        <w:spacing w:after="0" w:line="240" w:lineRule="auto"/>
        <w:rPr>
          <w:b/>
          <w:bCs/>
          <w:sz w:val="20"/>
          <w:szCs w:val="20"/>
        </w:rPr>
      </w:pPr>
      <w:r w:rsidRPr="008E565D">
        <w:rPr>
          <w:b/>
          <w:bCs/>
          <w:sz w:val="20"/>
          <w:szCs w:val="20"/>
        </w:rPr>
        <w:t xml:space="preserve">Note: </w:t>
      </w:r>
      <w:r w:rsidRPr="008E565D">
        <w:rPr>
          <w:sz w:val="20"/>
          <w:szCs w:val="20"/>
        </w:rPr>
        <w:t xml:space="preserve">RY2013 had a negative NPV. </w:t>
      </w:r>
    </w:p>
    <w:p w14:paraId="696D790B" w14:textId="2BEFBB83" w:rsidR="00406BE3" w:rsidRPr="008E565D" w:rsidRDefault="00C6352B" w:rsidP="00ED1913">
      <w:pPr>
        <w:spacing w:after="0" w:line="240" w:lineRule="auto"/>
        <w:rPr>
          <w:sz w:val="20"/>
          <w:szCs w:val="20"/>
        </w:rPr>
      </w:pPr>
      <w:r w:rsidRPr="008E565D">
        <w:rPr>
          <w:b/>
          <w:bCs/>
          <w:sz w:val="20"/>
          <w:szCs w:val="20"/>
        </w:rPr>
        <w:t xml:space="preserve">Source: </w:t>
      </w:r>
      <w:r w:rsidRPr="008E565D">
        <w:rPr>
          <w:sz w:val="20"/>
          <w:szCs w:val="20"/>
        </w:rPr>
        <w:t>Statistics Canada. </w:t>
      </w:r>
      <w:hyperlink r:id="rId19" w:history="1">
        <w:r w:rsidRPr="008E565D">
          <w:rPr>
            <w:rStyle w:val="Hyperlink"/>
            <w:sz w:val="20"/>
            <w:szCs w:val="20"/>
          </w:rPr>
          <w:t>Table 38-10-0006-01  Value of selected natural resource reserves (x 1,000,000)</w:t>
        </w:r>
      </w:hyperlink>
      <w:r w:rsidR="008E565D" w:rsidRPr="008E565D">
        <w:rPr>
          <w:sz w:val="20"/>
          <w:szCs w:val="20"/>
        </w:rPr>
        <w:t>.</w:t>
      </w:r>
    </w:p>
    <w:p w14:paraId="5A138D3C" w14:textId="77777777" w:rsidR="000A6824" w:rsidRDefault="000A6824" w:rsidP="00621779">
      <w:pPr>
        <w:spacing w:afterLines="40" w:after="96" w:line="240" w:lineRule="auto"/>
        <w:rPr>
          <w:rFonts w:ascii="Calibri" w:eastAsia="Times New Roman" w:hAnsi="Calibri" w:cs="Calibri"/>
          <w:i/>
          <w:iCs/>
          <w:color w:val="000000"/>
          <w:lang w:eastAsia="en-CA"/>
        </w:rPr>
      </w:pPr>
    </w:p>
    <w:p w14:paraId="5DAA6655" w14:textId="77777777" w:rsidR="008370DE" w:rsidRPr="008E565D" w:rsidRDefault="00F56BB9" w:rsidP="008370DE">
      <w:pPr>
        <w:spacing w:after="0" w:line="240" w:lineRule="auto"/>
        <w:rPr>
          <w:b/>
          <w:bCs/>
          <w:sz w:val="20"/>
          <w:szCs w:val="20"/>
        </w:rPr>
      </w:pPr>
      <w:r w:rsidRPr="008E565D">
        <w:rPr>
          <w:b/>
          <w:bCs/>
          <w:sz w:val="20"/>
          <w:szCs w:val="20"/>
        </w:rPr>
        <w:t xml:space="preserve">Table </w:t>
      </w:r>
      <w:r w:rsidR="00CE0B1D" w:rsidRPr="008E565D">
        <w:rPr>
          <w:b/>
          <w:bCs/>
          <w:sz w:val="20"/>
          <w:szCs w:val="20"/>
        </w:rPr>
        <w:t>8</w:t>
      </w:r>
    </w:p>
    <w:p w14:paraId="13AB807B" w14:textId="1D65B112" w:rsidR="00B531DA" w:rsidRPr="008E565D" w:rsidRDefault="00B63C6A" w:rsidP="008370DE">
      <w:pPr>
        <w:spacing w:after="0" w:line="240" w:lineRule="auto"/>
        <w:rPr>
          <w:b/>
          <w:bCs/>
          <w:sz w:val="20"/>
          <w:szCs w:val="20"/>
        </w:rPr>
      </w:pPr>
      <w:r w:rsidRPr="008E565D">
        <w:rPr>
          <w:b/>
          <w:bCs/>
          <w:sz w:val="20"/>
          <w:szCs w:val="20"/>
        </w:rPr>
        <w:t xml:space="preserve">Percent share of ownership (royalty rates), by economic owners, using StatCan </w:t>
      </w:r>
      <w:r w:rsidR="00097FC1" w:rsidRPr="008E565D">
        <w:rPr>
          <w:b/>
          <w:bCs/>
          <w:sz w:val="20"/>
          <w:szCs w:val="20"/>
        </w:rPr>
        <w:t>data, 2010</w:t>
      </w:r>
      <w:r w:rsidRPr="008E565D">
        <w:rPr>
          <w:b/>
          <w:bCs/>
          <w:sz w:val="20"/>
          <w:szCs w:val="20"/>
        </w:rPr>
        <w:t xml:space="preserve"> to 2020</w:t>
      </w:r>
    </w:p>
    <w:tbl>
      <w:tblPr>
        <w:tblStyle w:val="TableGrid"/>
        <w:tblW w:w="0" w:type="auto"/>
        <w:tblLook w:val="04A0" w:firstRow="1" w:lastRow="0" w:firstColumn="1" w:lastColumn="0" w:noHBand="0" w:noVBand="1"/>
      </w:tblPr>
      <w:tblGrid>
        <w:gridCol w:w="1860"/>
        <w:gridCol w:w="1621"/>
        <w:gridCol w:w="2058"/>
        <w:gridCol w:w="2181"/>
      </w:tblGrid>
      <w:tr w:rsidR="007444D9" w:rsidRPr="008E565D" w14:paraId="26FAB26F" w14:textId="77777777" w:rsidTr="007444D9">
        <w:trPr>
          <w:trHeight w:val="449"/>
        </w:trPr>
        <w:tc>
          <w:tcPr>
            <w:tcW w:w="1860" w:type="dxa"/>
            <w:noWrap/>
            <w:hideMark/>
          </w:tcPr>
          <w:p w14:paraId="18B39BE8" w14:textId="77777777" w:rsidR="007444D9" w:rsidRPr="00C32D45" w:rsidRDefault="007444D9" w:rsidP="007444D9">
            <w:pPr>
              <w:spacing w:afterLines="40" w:after="96"/>
              <w:rPr>
                <w:rFonts w:cstheme="minorHAnsi"/>
                <w:b/>
                <w:bCs/>
                <w:sz w:val="20"/>
                <w:szCs w:val="20"/>
              </w:rPr>
            </w:pPr>
          </w:p>
          <w:p w14:paraId="3A91B89A" w14:textId="2E51F1BD" w:rsidR="007444D9" w:rsidRPr="00C32D45" w:rsidRDefault="007444D9" w:rsidP="007444D9">
            <w:pPr>
              <w:spacing w:afterLines="40" w:after="96"/>
              <w:rPr>
                <w:rFonts w:cstheme="minorHAnsi"/>
                <w:b/>
                <w:bCs/>
                <w:sz w:val="20"/>
                <w:szCs w:val="20"/>
              </w:rPr>
            </w:pPr>
            <w:r w:rsidRPr="00C32D45">
              <w:rPr>
                <w:rFonts w:cstheme="minorHAnsi"/>
                <w:b/>
                <w:bCs/>
                <w:sz w:val="20"/>
                <w:szCs w:val="20"/>
              </w:rPr>
              <w:t>Year</w:t>
            </w:r>
          </w:p>
        </w:tc>
        <w:tc>
          <w:tcPr>
            <w:tcW w:w="5860" w:type="dxa"/>
            <w:gridSpan w:val="3"/>
            <w:hideMark/>
          </w:tcPr>
          <w:p w14:paraId="1ABA1998" w14:textId="77777777" w:rsidR="007444D9" w:rsidRPr="00C32D45" w:rsidRDefault="007444D9" w:rsidP="007444D9">
            <w:pPr>
              <w:spacing w:afterLines="40" w:after="96"/>
              <w:rPr>
                <w:rFonts w:cstheme="minorHAnsi"/>
                <w:b/>
                <w:bCs/>
                <w:sz w:val="20"/>
                <w:szCs w:val="20"/>
              </w:rPr>
            </w:pPr>
          </w:p>
          <w:p w14:paraId="0363CEA1" w14:textId="0254C9F3" w:rsidR="007444D9" w:rsidRPr="00C32D45" w:rsidRDefault="007444D9" w:rsidP="007444D9">
            <w:pPr>
              <w:spacing w:afterLines="40" w:after="96"/>
              <w:jc w:val="center"/>
              <w:rPr>
                <w:rFonts w:cstheme="minorHAnsi"/>
                <w:b/>
                <w:bCs/>
                <w:sz w:val="20"/>
                <w:szCs w:val="20"/>
              </w:rPr>
            </w:pPr>
            <w:r w:rsidRPr="00C32D45">
              <w:rPr>
                <w:rFonts w:cstheme="minorHAnsi"/>
                <w:b/>
                <w:bCs/>
                <w:sz w:val="20"/>
                <w:szCs w:val="20"/>
              </w:rPr>
              <w:t xml:space="preserve">Royalty </w:t>
            </w:r>
            <w:r w:rsidR="001064C0" w:rsidRPr="00C32D45">
              <w:rPr>
                <w:rFonts w:cstheme="minorHAnsi"/>
                <w:b/>
                <w:bCs/>
                <w:sz w:val="20"/>
                <w:szCs w:val="20"/>
              </w:rPr>
              <w:t>r</w:t>
            </w:r>
            <w:r w:rsidRPr="00C32D45">
              <w:rPr>
                <w:rFonts w:cstheme="minorHAnsi"/>
                <w:b/>
                <w:bCs/>
                <w:sz w:val="20"/>
                <w:szCs w:val="20"/>
              </w:rPr>
              <w:t>ate</w:t>
            </w:r>
          </w:p>
        </w:tc>
      </w:tr>
      <w:tr w:rsidR="007444D9" w:rsidRPr="008E565D" w14:paraId="16CF0EE2" w14:textId="77777777" w:rsidTr="007444D9">
        <w:trPr>
          <w:trHeight w:val="290"/>
        </w:trPr>
        <w:tc>
          <w:tcPr>
            <w:tcW w:w="1860" w:type="dxa"/>
            <w:noWrap/>
            <w:hideMark/>
          </w:tcPr>
          <w:p w14:paraId="7A9C0BC9" w14:textId="77777777" w:rsidR="007444D9" w:rsidRPr="00C32D45" w:rsidRDefault="007444D9" w:rsidP="007444D9">
            <w:pPr>
              <w:spacing w:afterLines="40" w:after="96"/>
              <w:rPr>
                <w:rFonts w:cstheme="minorHAnsi"/>
                <w:b/>
                <w:bCs/>
                <w:sz w:val="20"/>
                <w:szCs w:val="20"/>
              </w:rPr>
            </w:pPr>
            <w:r w:rsidRPr="00C32D45">
              <w:rPr>
                <w:rFonts w:cstheme="minorHAnsi"/>
                <w:b/>
                <w:bCs/>
                <w:sz w:val="20"/>
                <w:szCs w:val="20"/>
              </w:rPr>
              <w:t> </w:t>
            </w:r>
          </w:p>
        </w:tc>
        <w:tc>
          <w:tcPr>
            <w:tcW w:w="1621" w:type="dxa"/>
            <w:noWrap/>
            <w:hideMark/>
          </w:tcPr>
          <w:p w14:paraId="4F7D1874" w14:textId="77777777" w:rsidR="007444D9" w:rsidRPr="00C32D45" w:rsidRDefault="007444D9" w:rsidP="008370DE">
            <w:pPr>
              <w:spacing w:afterLines="40" w:after="96"/>
              <w:jc w:val="right"/>
              <w:rPr>
                <w:rFonts w:cstheme="minorHAnsi"/>
                <w:b/>
                <w:bCs/>
                <w:sz w:val="20"/>
                <w:szCs w:val="20"/>
              </w:rPr>
            </w:pPr>
            <w:r w:rsidRPr="00C32D45">
              <w:rPr>
                <w:rFonts w:cstheme="minorHAnsi"/>
                <w:b/>
                <w:bCs/>
                <w:sz w:val="20"/>
                <w:szCs w:val="20"/>
              </w:rPr>
              <w:t>Federal</w:t>
            </w:r>
          </w:p>
        </w:tc>
        <w:tc>
          <w:tcPr>
            <w:tcW w:w="2058" w:type="dxa"/>
            <w:noWrap/>
            <w:hideMark/>
          </w:tcPr>
          <w:p w14:paraId="0D1FEC7E" w14:textId="6F255039" w:rsidR="007444D9" w:rsidRPr="00C32D45" w:rsidRDefault="001A13B9" w:rsidP="008370DE">
            <w:pPr>
              <w:spacing w:afterLines="40" w:after="96"/>
              <w:jc w:val="right"/>
              <w:rPr>
                <w:rFonts w:cstheme="minorHAnsi"/>
                <w:b/>
                <w:bCs/>
                <w:sz w:val="20"/>
                <w:szCs w:val="20"/>
              </w:rPr>
            </w:pPr>
            <w:r w:rsidRPr="001064C0">
              <w:rPr>
                <w:rFonts w:eastAsia="Times New Roman" w:cstheme="minorHAnsi"/>
                <w:b/>
                <w:bCs/>
                <w:color w:val="000000"/>
                <w:sz w:val="20"/>
                <w:szCs w:val="20"/>
                <w:lang w:eastAsia="en-CA"/>
              </w:rPr>
              <w:t>Provincial/Territorial</w:t>
            </w:r>
          </w:p>
        </w:tc>
        <w:tc>
          <w:tcPr>
            <w:tcW w:w="2181" w:type="dxa"/>
            <w:noWrap/>
            <w:hideMark/>
          </w:tcPr>
          <w:p w14:paraId="1CC042CA" w14:textId="6B9D43B3" w:rsidR="007444D9" w:rsidRPr="00C32D45" w:rsidRDefault="007444D9" w:rsidP="008370DE">
            <w:pPr>
              <w:spacing w:afterLines="40" w:after="96"/>
              <w:jc w:val="right"/>
              <w:rPr>
                <w:rFonts w:cstheme="minorHAnsi"/>
                <w:b/>
                <w:bCs/>
                <w:sz w:val="20"/>
                <w:szCs w:val="20"/>
              </w:rPr>
            </w:pPr>
            <w:r w:rsidRPr="00C32D45">
              <w:rPr>
                <w:rFonts w:cstheme="minorHAnsi"/>
                <w:b/>
                <w:bCs/>
                <w:sz w:val="20"/>
                <w:szCs w:val="20"/>
              </w:rPr>
              <w:t>Corporat</w:t>
            </w:r>
            <w:r w:rsidR="00D94E46">
              <w:rPr>
                <w:rFonts w:cstheme="minorHAnsi"/>
                <w:b/>
                <w:bCs/>
                <w:sz w:val="20"/>
                <w:szCs w:val="20"/>
              </w:rPr>
              <w:t>ion</w:t>
            </w:r>
          </w:p>
        </w:tc>
      </w:tr>
      <w:tr w:rsidR="00525943" w:rsidRPr="008E565D" w14:paraId="01AAE143" w14:textId="77777777" w:rsidTr="003D1310">
        <w:trPr>
          <w:trHeight w:val="290"/>
        </w:trPr>
        <w:tc>
          <w:tcPr>
            <w:tcW w:w="1860" w:type="dxa"/>
            <w:noWrap/>
          </w:tcPr>
          <w:p w14:paraId="56851D0F" w14:textId="77777777" w:rsidR="00525943" w:rsidRPr="008E565D" w:rsidRDefault="00525943" w:rsidP="007444D9">
            <w:pPr>
              <w:spacing w:afterLines="40" w:after="96"/>
              <w:rPr>
                <w:rFonts w:cstheme="minorHAnsi"/>
                <w:b/>
                <w:bCs/>
                <w:sz w:val="21"/>
                <w:szCs w:val="21"/>
              </w:rPr>
            </w:pPr>
          </w:p>
        </w:tc>
        <w:tc>
          <w:tcPr>
            <w:tcW w:w="5860" w:type="dxa"/>
            <w:gridSpan w:val="3"/>
            <w:noWrap/>
          </w:tcPr>
          <w:p w14:paraId="497DFEF5" w14:textId="2F7277BE" w:rsidR="00525943" w:rsidRPr="00525943" w:rsidRDefault="00525943" w:rsidP="00C32D45">
            <w:pPr>
              <w:spacing w:afterLines="40" w:after="96"/>
              <w:jc w:val="center"/>
              <w:rPr>
                <w:rFonts w:cstheme="minorHAnsi"/>
                <w:sz w:val="21"/>
                <w:szCs w:val="21"/>
              </w:rPr>
            </w:pPr>
            <w:r w:rsidRPr="00525943">
              <w:rPr>
                <w:rFonts w:cstheme="minorHAnsi"/>
                <w:sz w:val="21"/>
                <w:szCs w:val="21"/>
              </w:rPr>
              <w:t>percent</w:t>
            </w:r>
          </w:p>
        </w:tc>
      </w:tr>
      <w:tr w:rsidR="007444D9" w:rsidRPr="008E565D" w14:paraId="63AFC35E" w14:textId="77777777" w:rsidTr="007444D9">
        <w:trPr>
          <w:trHeight w:val="290"/>
        </w:trPr>
        <w:tc>
          <w:tcPr>
            <w:tcW w:w="1860" w:type="dxa"/>
            <w:noWrap/>
            <w:hideMark/>
          </w:tcPr>
          <w:p w14:paraId="57F8397F" w14:textId="77777777" w:rsidR="007444D9" w:rsidRPr="008E565D" w:rsidRDefault="007444D9" w:rsidP="007444D9">
            <w:pPr>
              <w:rPr>
                <w:rFonts w:cstheme="minorHAnsi"/>
                <w:sz w:val="21"/>
                <w:szCs w:val="21"/>
              </w:rPr>
            </w:pPr>
            <w:r w:rsidRPr="008E565D">
              <w:rPr>
                <w:rFonts w:cstheme="minorHAnsi"/>
                <w:sz w:val="21"/>
                <w:szCs w:val="21"/>
              </w:rPr>
              <w:t>2010</w:t>
            </w:r>
          </w:p>
        </w:tc>
        <w:tc>
          <w:tcPr>
            <w:tcW w:w="1621" w:type="dxa"/>
            <w:noWrap/>
            <w:hideMark/>
          </w:tcPr>
          <w:p w14:paraId="68C29EB1"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0D4ED92D" w14:textId="77777777" w:rsidR="007444D9" w:rsidRPr="008E565D" w:rsidRDefault="007444D9" w:rsidP="008370DE">
            <w:pPr>
              <w:jc w:val="right"/>
              <w:rPr>
                <w:rFonts w:cstheme="minorHAnsi"/>
                <w:sz w:val="21"/>
                <w:szCs w:val="21"/>
              </w:rPr>
            </w:pPr>
            <w:r w:rsidRPr="008E565D">
              <w:rPr>
                <w:rFonts w:cstheme="minorHAnsi"/>
                <w:sz w:val="21"/>
                <w:szCs w:val="21"/>
              </w:rPr>
              <w:t>12.2%</w:t>
            </w:r>
          </w:p>
        </w:tc>
        <w:tc>
          <w:tcPr>
            <w:tcW w:w="2181" w:type="dxa"/>
            <w:noWrap/>
            <w:hideMark/>
          </w:tcPr>
          <w:p w14:paraId="24EE43E7" w14:textId="77777777" w:rsidR="007444D9" w:rsidRPr="008E565D" w:rsidRDefault="007444D9" w:rsidP="008370DE">
            <w:pPr>
              <w:jc w:val="right"/>
              <w:rPr>
                <w:rFonts w:cstheme="minorHAnsi"/>
                <w:sz w:val="21"/>
                <w:szCs w:val="21"/>
              </w:rPr>
            </w:pPr>
            <w:r w:rsidRPr="008E565D">
              <w:rPr>
                <w:rFonts w:cstheme="minorHAnsi"/>
                <w:sz w:val="21"/>
                <w:szCs w:val="21"/>
              </w:rPr>
              <w:t>87.8%</w:t>
            </w:r>
          </w:p>
        </w:tc>
      </w:tr>
      <w:tr w:rsidR="007444D9" w:rsidRPr="008E565D" w14:paraId="10191CD5" w14:textId="77777777" w:rsidTr="007444D9">
        <w:trPr>
          <w:trHeight w:val="290"/>
        </w:trPr>
        <w:tc>
          <w:tcPr>
            <w:tcW w:w="1860" w:type="dxa"/>
            <w:noWrap/>
            <w:hideMark/>
          </w:tcPr>
          <w:p w14:paraId="68E6CDCE" w14:textId="77777777" w:rsidR="007444D9" w:rsidRPr="008E565D" w:rsidRDefault="007444D9" w:rsidP="007444D9">
            <w:pPr>
              <w:rPr>
                <w:rFonts w:cstheme="minorHAnsi"/>
                <w:sz w:val="21"/>
                <w:szCs w:val="21"/>
              </w:rPr>
            </w:pPr>
            <w:r w:rsidRPr="008E565D">
              <w:rPr>
                <w:rFonts w:cstheme="minorHAnsi"/>
                <w:sz w:val="21"/>
                <w:szCs w:val="21"/>
              </w:rPr>
              <w:t>2011</w:t>
            </w:r>
          </w:p>
        </w:tc>
        <w:tc>
          <w:tcPr>
            <w:tcW w:w="1621" w:type="dxa"/>
            <w:noWrap/>
            <w:hideMark/>
          </w:tcPr>
          <w:p w14:paraId="79723DCF"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2EBA3692" w14:textId="77777777" w:rsidR="007444D9" w:rsidRPr="008E565D" w:rsidRDefault="007444D9" w:rsidP="008370DE">
            <w:pPr>
              <w:jc w:val="right"/>
              <w:rPr>
                <w:rFonts w:cstheme="minorHAnsi"/>
                <w:sz w:val="21"/>
                <w:szCs w:val="21"/>
              </w:rPr>
            </w:pPr>
            <w:r w:rsidRPr="008E565D">
              <w:rPr>
                <w:rFonts w:cstheme="minorHAnsi"/>
                <w:sz w:val="21"/>
                <w:szCs w:val="21"/>
              </w:rPr>
              <w:t>12.1%</w:t>
            </w:r>
          </w:p>
        </w:tc>
        <w:tc>
          <w:tcPr>
            <w:tcW w:w="2181" w:type="dxa"/>
            <w:noWrap/>
            <w:hideMark/>
          </w:tcPr>
          <w:p w14:paraId="38CC48FE" w14:textId="77777777" w:rsidR="007444D9" w:rsidRPr="008E565D" w:rsidRDefault="007444D9" w:rsidP="008370DE">
            <w:pPr>
              <w:jc w:val="right"/>
              <w:rPr>
                <w:rFonts w:cstheme="minorHAnsi"/>
                <w:sz w:val="21"/>
                <w:szCs w:val="21"/>
              </w:rPr>
            </w:pPr>
            <w:r w:rsidRPr="008E565D">
              <w:rPr>
                <w:rFonts w:cstheme="minorHAnsi"/>
                <w:sz w:val="21"/>
                <w:szCs w:val="21"/>
              </w:rPr>
              <w:t>87.9%</w:t>
            </w:r>
          </w:p>
        </w:tc>
      </w:tr>
      <w:tr w:rsidR="007444D9" w:rsidRPr="008E565D" w14:paraId="4BB46579" w14:textId="77777777" w:rsidTr="007444D9">
        <w:trPr>
          <w:trHeight w:val="300"/>
        </w:trPr>
        <w:tc>
          <w:tcPr>
            <w:tcW w:w="1860" w:type="dxa"/>
            <w:noWrap/>
            <w:hideMark/>
          </w:tcPr>
          <w:p w14:paraId="2E73C1B7" w14:textId="77777777" w:rsidR="007444D9" w:rsidRPr="008E565D" w:rsidRDefault="007444D9" w:rsidP="007444D9">
            <w:pPr>
              <w:rPr>
                <w:rFonts w:cstheme="minorHAnsi"/>
                <w:sz w:val="21"/>
                <w:szCs w:val="21"/>
              </w:rPr>
            </w:pPr>
            <w:r w:rsidRPr="008E565D">
              <w:rPr>
                <w:rFonts w:cstheme="minorHAnsi"/>
                <w:sz w:val="21"/>
                <w:szCs w:val="21"/>
              </w:rPr>
              <w:t>2012</w:t>
            </w:r>
          </w:p>
        </w:tc>
        <w:tc>
          <w:tcPr>
            <w:tcW w:w="1621" w:type="dxa"/>
            <w:noWrap/>
            <w:hideMark/>
          </w:tcPr>
          <w:p w14:paraId="29DB5503"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5E590B29" w14:textId="77777777" w:rsidR="007444D9" w:rsidRPr="008E565D" w:rsidRDefault="007444D9" w:rsidP="008370DE">
            <w:pPr>
              <w:jc w:val="right"/>
              <w:rPr>
                <w:rFonts w:cstheme="minorHAnsi"/>
                <w:sz w:val="21"/>
                <w:szCs w:val="21"/>
              </w:rPr>
            </w:pPr>
            <w:r w:rsidRPr="008E565D">
              <w:rPr>
                <w:rFonts w:cstheme="minorHAnsi"/>
                <w:sz w:val="21"/>
                <w:szCs w:val="21"/>
              </w:rPr>
              <w:t>12.1%</w:t>
            </w:r>
          </w:p>
        </w:tc>
        <w:tc>
          <w:tcPr>
            <w:tcW w:w="2181" w:type="dxa"/>
            <w:noWrap/>
            <w:hideMark/>
          </w:tcPr>
          <w:p w14:paraId="190E1125" w14:textId="77777777" w:rsidR="007444D9" w:rsidRPr="008E565D" w:rsidRDefault="007444D9" w:rsidP="008370DE">
            <w:pPr>
              <w:jc w:val="right"/>
              <w:rPr>
                <w:rFonts w:cstheme="minorHAnsi"/>
                <w:sz w:val="21"/>
                <w:szCs w:val="21"/>
              </w:rPr>
            </w:pPr>
            <w:r w:rsidRPr="008E565D">
              <w:rPr>
                <w:rFonts w:cstheme="minorHAnsi"/>
                <w:sz w:val="21"/>
                <w:szCs w:val="21"/>
              </w:rPr>
              <w:t>87.9%</w:t>
            </w:r>
          </w:p>
        </w:tc>
      </w:tr>
      <w:tr w:rsidR="007444D9" w:rsidRPr="008E565D" w14:paraId="2503F79C" w14:textId="77777777" w:rsidTr="007444D9">
        <w:trPr>
          <w:trHeight w:val="290"/>
        </w:trPr>
        <w:tc>
          <w:tcPr>
            <w:tcW w:w="1860" w:type="dxa"/>
            <w:noWrap/>
            <w:hideMark/>
          </w:tcPr>
          <w:p w14:paraId="62A5B32A" w14:textId="77777777" w:rsidR="007444D9" w:rsidRPr="008E565D" w:rsidRDefault="007444D9" w:rsidP="007444D9">
            <w:pPr>
              <w:rPr>
                <w:rFonts w:cstheme="minorHAnsi"/>
                <w:sz w:val="21"/>
                <w:szCs w:val="21"/>
              </w:rPr>
            </w:pPr>
            <w:r w:rsidRPr="008E565D">
              <w:rPr>
                <w:rFonts w:cstheme="minorHAnsi"/>
                <w:sz w:val="21"/>
                <w:szCs w:val="21"/>
              </w:rPr>
              <w:t>2013</w:t>
            </w:r>
          </w:p>
        </w:tc>
        <w:tc>
          <w:tcPr>
            <w:tcW w:w="1621" w:type="dxa"/>
            <w:noWrap/>
            <w:hideMark/>
          </w:tcPr>
          <w:p w14:paraId="09D734CB"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2010FDC1" w14:textId="77777777" w:rsidR="007444D9" w:rsidRPr="008E565D" w:rsidRDefault="007444D9" w:rsidP="008370DE">
            <w:pPr>
              <w:jc w:val="right"/>
              <w:rPr>
                <w:rFonts w:cstheme="minorHAnsi"/>
                <w:sz w:val="21"/>
                <w:szCs w:val="21"/>
              </w:rPr>
            </w:pPr>
            <w:r w:rsidRPr="008E565D">
              <w:rPr>
                <w:rFonts w:cstheme="minorHAnsi"/>
                <w:sz w:val="21"/>
                <w:szCs w:val="21"/>
              </w:rPr>
              <w:t>0.0%</w:t>
            </w:r>
          </w:p>
        </w:tc>
        <w:tc>
          <w:tcPr>
            <w:tcW w:w="2181" w:type="dxa"/>
            <w:noWrap/>
            <w:hideMark/>
          </w:tcPr>
          <w:p w14:paraId="46E39CD2" w14:textId="77777777" w:rsidR="007444D9" w:rsidRPr="008E565D" w:rsidRDefault="007444D9" w:rsidP="008370DE">
            <w:pPr>
              <w:jc w:val="right"/>
              <w:rPr>
                <w:rFonts w:cstheme="minorHAnsi"/>
                <w:sz w:val="21"/>
                <w:szCs w:val="21"/>
              </w:rPr>
            </w:pPr>
            <w:r w:rsidRPr="008E565D">
              <w:rPr>
                <w:rFonts w:cstheme="minorHAnsi"/>
                <w:sz w:val="21"/>
                <w:szCs w:val="21"/>
              </w:rPr>
              <w:t>0.0%</w:t>
            </w:r>
          </w:p>
        </w:tc>
      </w:tr>
      <w:tr w:rsidR="007444D9" w:rsidRPr="008E565D" w14:paraId="115BB8B3" w14:textId="77777777" w:rsidTr="007444D9">
        <w:trPr>
          <w:trHeight w:val="290"/>
        </w:trPr>
        <w:tc>
          <w:tcPr>
            <w:tcW w:w="1860" w:type="dxa"/>
            <w:noWrap/>
            <w:hideMark/>
          </w:tcPr>
          <w:p w14:paraId="243EF4EA" w14:textId="77777777" w:rsidR="007444D9" w:rsidRPr="008E565D" w:rsidRDefault="007444D9" w:rsidP="007444D9">
            <w:pPr>
              <w:rPr>
                <w:rFonts w:cstheme="minorHAnsi"/>
                <w:sz w:val="21"/>
                <w:szCs w:val="21"/>
              </w:rPr>
            </w:pPr>
            <w:r w:rsidRPr="008E565D">
              <w:rPr>
                <w:rFonts w:cstheme="minorHAnsi"/>
                <w:sz w:val="21"/>
                <w:szCs w:val="21"/>
              </w:rPr>
              <w:t>2014</w:t>
            </w:r>
          </w:p>
        </w:tc>
        <w:tc>
          <w:tcPr>
            <w:tcW w:w="1621" w:type="dxa"/>
            <w:noWrap/>
            <w:hideMark/>
          </w:tcPr>
          <w:p w14:paraId="1E46754C"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100EB89B" w14:textId="77777777" w:rsidR="007444D9" w:rsidRPr="008E565D" w:rsidRDefault="007444D9" w:rsidP="008370DE">
            <w:pPr>
              <w:jc w:val="right"/>
              <w:rPr>
                <w:rFonts w:cstheme="minorHAnsi"/>
                <w:sz w:val="21"/>
                <w:szCs w:val="21"/>
              </w:rPr>
            </w:pPr>
            <w:r w:rsidRPr="008E565D">
              <w:rPr>
                <w:rFonts w:cstheme="minorHAnsi"/>
                <w:sz w:val="21"/>
                <w:szCs w:val="21"/>
              </w:rPr>
              <w:t>12.2%</w:t>
            </w:r>
          </w:p>
        </w:tc>
        <w:tc>
          <w:tcPr>
            <w:tcW w:w="2181" w:type="dxa"/>
            <w:noWrap/>
            <w:hideMark/>
          </w:tcPr>
          <w:p w14:paraId="1FCCDD8A" w14:textId="77777777" w:rsidR="007444D9" w:rsidRPr="008E565D" w:rsidRDefault="007444D9" w:rsidP="008370DE">
            <w:pPr>
              <w:jc w:val="right"/>
              <w:rPr>
                <w:rFonts w:cstheme="minorHAnsi"/>
                <w:sz w:val="21"/>
                <w:szCs w:val="21"/>
              </w:rPr>
            </w:pPr>
            <w:r w:rsidRPr="008E565D">
              <w:rPr>
                <w:rFonts w:cstheme="minorHAnsi"/>
                <w:sz w:val="21"/>
                <w:szCs w:val="21"/>
              </w:rPr>
              <w:t>87.8%</w:t>
            </w:r>
          </w:p>
        </w:tc>
      </w:tr>
      <w:tr w:rsidR="007444D9" w:rsidRPr="008E565D" w14:paraId="7DA499D5" w14:textId="77777777" w:rsidTr="007444D9">
        <w:trPr>
          <w:trHeight w:val="290"/>
        </w:trPr>
        <w:tc>
          <w:tcPr>
            <w:tcW w:w="1860" w:type="dxa"/>
            <w:noWrap/>
            <w:hideMark/>
          </w:tcPr>
          <w:p w14:paraId="06C95C09" w14:textId="77777777" w:rsidR="007444D9" w:rsidRPr="008E565D" w:rsidRDefault="007444D9" w:rsidP="007444D9">
            <w:pPr>
              <w:rPr>
                <w:rFonts w:cstheme="minorHAnsi"/>
                <w:sz w:val="21"/>
                <w:szCs w:val="21"/>
              </w:rPr>
            </w:pPr>
            <w:r w:rsidRPr="008E565D">
              <w:rPr>
                <w:rFonts w:cstheme="minorHAnsi"/>
                <w:sz w:val="21"/>
                <w:szCs w:val="21"/>
              </w:rPr>
              <w:t>2015</w:t>
            </w:r>
          </w:p>
        </w:tc>
        <w:tc>
          <w:tcPr>
            <w:tcW w:w="1621" w:type="dxa"/>
            <w:noWrap/>
            <w:hideMark/>
          </w:tcPr>
          <w:p w14:paraId="75DC70CD"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24E056C5" w14:textId="77777777" w:rsidR="007444D9" w:rsidRPr="008E565D" w:rsidRDefault="007444D9" w:rsidP="008370DE">
            <w:pPr>
              <w:jc w:val="right"/>
              <w:rPr>
                <w:rFonts w:cstheme="minorHAnsi"/>
                <w:sz w:val="21"/>
                <w:szCs w:val="21"/>
              </w:rPr>
            </w:pPr>
            <w:r w:rsidRPr="008E565D">
              <w:rPr>
                <w:rFonts w:cstheme="minorHAnsi"/>
                <w:sz w:val="21"/>
                <w:szCs w:val="21"/>
              </w:rPr>
              <w:t>12.3%</w:t>
            </w:r>
          </w:p>
        </w:tc>
        <w:tc>
          <w:tcPr>
            <w:tcW w:w="2181" w:type="dxa"/>
            <w:noWrap/>
            <w:hideMark/>
          </w:tcPr>
          <w:p w14:paraId="4D6D856E" w14:textId="77777777" w:rsidR="007444D9" w:rsidRPr="008E565D" w:rsidRDefault="007444D9" w:rsidP="008370DE">
            <w:pPr>
              <w:jc w:val="right"/>
              <w:rPr>
                <w:rFonts w:cstheme="minorHAnsi"/>
                <w:sz w:val="21"/>
                <w:szCs w:val="21"/>
              </w:rPr>
            </w:pPr>
            <w:r w:rsidRPr="008E565D">
              <w:rPr>
                <w:rFonts w:cstheme="minorHAnsi"/>
                <w:sz w:val="21"/>
                <w:szCs w:val="21"/>
              </w:rPr>
              <w:t>87.7%</w:t>
            </w:r>
          </w:p>
        </w:tc>
      </w:tr>
      <w:tr w:rsidR="007444D9" w:rsidRPr="008E565D" w14:paraId="1BD0062E" w14:textId="77777777" w:rsidTr="007444D9">
        <w:trPr>
          <w:trHeight w:val="325"/>
        </w:trPr>
        <w:tc>
          <w:tcPr>
            <w:tcW w:w="1860" w:type="dxa"/>
            <w:noWrap/>
            <w:hideMark/>
          </w:tcPr>
          <w:p w14:paraId="2EAE8E85" w14:textId="77777777" w:rsidR="007444D9" w:rsidRPr="008E565D" w:rsidRDefault="007444D9" w:rsidP="007444D9">
            <w:pPr>
              <w:rPr>
                <w:rFonts w:cstheme="minorHAnsi"/>
                <w:sz w:val="21"/>
                <w:szCs w:val="21"/>
              </w:rPr>
            </w:pPr>
            <w:r w:rsidRPr="008E565D">
              <w:rPr>
                <w:rFonts w:cstheme="minorHAnsi"/>
                <w:sz w:val="21"/>
                <w:szCs w:val="21"/>
              </w:rPr>
              <w:t>2016</w:t>
            </w:r>
          </w:p>
        </w:tc>
        <w:tc>
          <w:tcPr>
            <w:tcW w:w="1621" w:type="dxa"/>
            <w:noWrap/>
            <w:hideMark/>
          </w:tcPr>
          <w:p w14:paraId="799E4DD1"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491C5265" w14:textId="77777777" w:rsidR="007444D9" w:rsidRPr="008E565D" w:rsidRDefault="007444D9" w:rsidP="008370DE">
            <w:pPr>
              <w:jc w:val="right"/>
              <w:rPr>
                <w:rFonts w:cstheme="minorHAnsi"/>
                <w:sz w:val="21"/>
                <w:szCs w:val="21"/>
              </w:rPr>
            </w:pPr>
            <w:r w:rsidRPr="008E565D">
              <w:rPr>
                <w:rFonts w:cstheme="minorHAnsi"/>
                <w:sz w:val="21"/>
                <w:szCs w:val="21"/>
              </w:rPr>
              <w:t>12.3%</w:t>
            </w:r>
          </w:p>
        </w:tc>
        <w:tc>
          <w:tcPr>
            <w:tcW w:w="2181" w:type="dxa"/>
            <w:noWrap/>
            <w:hideMark/>
          </w:tcPr>
          <w:p w14:paraId="5E91D61D" w14:textId="77777777" w:rsidR="007444D9" w:rsidRPr="008E565D" w:rsidRDefault="007444D9" w:rsidP="008370DE">
            <w:pPr>
              <w:jc w:val="right"/>
              <w:rPr>
                <w:rFonts w:cstheme="minorHAnsi"/>
                <w:sz w:val="21"/>
                <w:szCs w:val="21"/>
              </w:rPr>
            </w:pPr>
            <w:r w:rsidRPr="008E565D">
              <w:rPr>
                <w:rFonts w:cstheme="minorHAnsi"/>
                <w:sz w:val="21"/>
                <w:szCs w:val="21"/>
              </w:rPr>
              <w:t>87.7%</w:t>
            </w:r>
          </w:p>
        </w:tc>
      </w:tr>
      <w:tr w:rsidR="007444D9" w:rsidRPr="008E565D" w14:paraId="5EE20BA7" w14:textId="77777777" w:rsidTr="007444D9">
        <w:trPr>
          <w:trHeight w:val="290"/>
        </w:trPr>
        <w:tc>
          <w:tcPr>
            <w:tcW w:w="1860" w:type="dxa"/>
            <w:noWrap/>
            <w:hideMark/>
          </w:tcPr>
          <w:p w14:paraId="1689DEEA" w14:textId="77777777" w:rsidR="007444D9" w:rsidRPr="008E565D" w:rsidRDefault="007444D9" w:rsidP="007444D9">
            <w:pPr>
              <w:rPr>
                <w:rFonts w:cstheme="minorHAnsi"/>
                <w:sz w:val="21"/>
                <w:szCs w:val="21"/>
              </w:rPr>
            </w:pPr>
            <w:r w:rsidRPr="008E565D">
              <w:rPr>
                <w:rFonts w:cstheme="minorHAnsi"/>
                <w:sz w:val="21"/>
                <w:szCs w:val="21"/>
              </w:rPr>
              <w:t>2017</w:t>
            </w:r>
          </w:p>
        </w:tc>
        <w:tc>
          <w:tcPr>
            <w:tcW w:w="1621" w:type="dxa"/>
            <w:noWrap/>
            <w:hideMark/>
          </w:tcPr>
          <w:p w14:paraId="4239866F"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33E7187B" w14:textId="77777777" w:rsidR="007444D9" w:rsidRPr="008E565D" w:rsidRDefault="007444D9" w:rsidP="008370DE">
            <w:pPr>
              <w:jc w:val="right"/>
              <w:rPr>
                <w:rFonts w:cstheme="minorHAnsi"/>
                <w:sz w:val="21"/>
                <w:szCs w:val="21"/>
              </w:rPr>
            </w:pPr>
            <w:r w:rsidRPr="008E565D">
              <w:rPr>
                <w:rFonts w:cstheme="minorHAnsi"/>
                <w:sz w:val="21"/>
                <w:szCs w:val="21"/>
              </w:rPr>
              <w:t>12.5%</w:t>
            </w:r>
          </w:p>
        </w:tc>
        <w:tc>
          <w:tcPr>
            <w:tcW w:w="2181" w:type="dxa"/>
            <w:noWrap/>
            <w:hideMark/>
          </w:tcPr>
          <w:p w14:paraId="43A2FD73" w14:textId="77777777" w:rsidR="007444D9" w:rsidRPr="008E565D" w:rsidRDefault="007444D9" w:rsidP="008370DE">
            <w:pPr>
              <w:jc w:val="right"/>
              <w:rPr>
                <w:rFonts w:cstheme="minorHAnsi"/>
                <w:sz w:val="21"/>
                <w:szCs w:val="21"/>
              </w:rPr>
            </w:pPr>
            <w:r w:rsidRPr="008E565D">
              <w:rPr>
                <w:rFonts w:cstheme="minorHAnsi"/>
                <w:sz w:val="21"/>
                <w:szCs w:val="21"/>
              </w:rPr>
              <w:t>87.5%</w:t>
            </w:r>
          </w:p>
        </w:tc>
      </w:tr>
      <w:tr w:rsidR="007444D9" w:rsidRPr="008E565D" w14:paraId="0E762F01" w14:textId="77777777" w:rsidTr="007444D9">
        <w:trPr>
          <w:trHeight w:val="290"/>
        </w:trPr>
        <w:tc>
          <w:tcPr>
            <w:tcW w:w="1860" w:type="dxa"/>
            <w:noWrap/>
            <w:hideMark/>
          </w:tcPr>
          <w:p w14:paraId="20E5EE92" w14:textId="77777777" w:rsidR="007444D9" w:rsidRPr="008E565D" w:rsidRDefault="007444D9" w:rsidP="007444D9">
            <w:pPr>
              <w:rPr>
                <w:rFonts w:cstheme="minorHAnsi"/>
                <w:sz w:val="21"/>
                <w:szCs w:val="21"/>
              </w:rPr>
            </w:pPr>
            <w:r w:rsidRPr="008E565D">
              <w:rPr>
                <w:rFonts w:cstheme="minorHAnsi"/>
                <w:sz w:val="21"/>
                <w:szCs w:val="21"/>
              </w:rPr>
              <w:t>2018</w:t>
            </w:r>
          </w:p>
        </w:tc>
        <w:tc>
          <w:tcPr>
            <w:tcW w:w="1621" w:type="dxa"/>
            <w:noWrap/>
            <w:hideMark/>
          </w:tcPr>
          <w:p w14:paraId="2FFE15E8"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419B27F8" w14:textId="77777777" w:rsidR="007444D9" w:rsidRPr="008E565D" w:rsidRDefault="007444D9" w:rsidP="008370DE">
            <w:pPr>
              <w:jc w:val="right"/>
              <w:rPr>
                <w:rFonts w:cstheme="minorHAnsi"/>
                <w:sz w:val="21"/>
                <w:szCs w:val="21"/>
              </w:rPr>
            </w:pPr>
            <w:r w:rsidRPr="008E565D">
              <w:rPr>
                <w:rFonts w:cstheme="minorHAnsi"/>
                <w:sz w:val="21"/>
                <w:szCs w:val="21"/>
              </w:rPr>
              <w:t>12.3%</w:t>
            </w:r>
          </w:p>
        </w:tc>
        <w:tc>
          <w:tcPr>
            <w:tcW w:w="2181" w:type="dxa"/>
            <w:noWrap/>
            <w:hideMark/>
          </w:tcPr>
          <w:p w14:paraId="785921E4" w14:textId="77777777" w:rsidR="007444D9" w:rsidRPr="008E565D" w:rsidRDefault="007444D9" w:rsidP="008370DE">
            <w:pPr>
              <w:jc w:val="right"/>
              <w:rPr>
                <w:rFonts w:cstheme="minorHAnsi"/>
                <w:sz w:val="21"/>
                <w:szCs w:val="21"/>
              </w:rPr>
            </w:pPr>
            <w:r w:rsidRPr="008E565D">
              <w:rPr>
                <w:rFonts w:cstheme="minorHAnsi"/>
                <w:sz w:val="21"/>
                <w:szCs w:val="21"/>
              </w:rPr>
              <w:t>87.7%</w:t>
            </w:r>
          </w:p>
        </w:tc>
      </w:tr>
      <w:tr w:rsidR="007444D9" w:rsidRPr="008E565D" w14:paraId="10BB49CA" w14:textId="77777777" w:rsidTr="007444D9">
        <w:trPr>
          <w:trHeight w:val="290"/>
        </w:trPr>
        <w:tc>
          <w:tcPr>
            <w:tcW w:w="1860" w:type="dxa"/>
            <w:noWrap/>
            <w:hideMark/>
          </w:tcPr>
          <w:p w14:paraId="66F5E08C" w14:textId="77777777" w:rsidR="007444D9" w:rsidRPr="008E565D" w:rsidRDefault="007444D9" w:rsidP="007444D9">
            <w:pPr>
              <w:rPr>
                <w:rFonts w:cstheme="minorHAnsi"/>
                <w:sz w:val="21"/>
                <w:szCs w:val="21"/>
              </w:rPr>
            </w:pPr>
            <w:r w:rsidRPr="008E565D">
              <w:rPr>
                <w:rFonts w:cstheme="minorHAnsi"/>
                <w:sz w:val="21"/>
                <w:szCs w:val="21"/>
              </w:rPr>
              <w:t>2019</w:t>
            </w:r>
          </w:p>
        </w:tc>
        <w:tc>
          <w:tcPr>
            <w:tcW w:w="1621" w:type="dxa"/>
            <w:noWrap/>
            <w:hideMark/>
          </w:tcPr>
          <w:p w14:paraId="01B45AFE"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7F13669C" w14:textId="77777777" w:rsidR="007444D9" w:rsidRPr="008E565D" w:rsidRDefault="007444D9" w:rsidP="008370DE">
            <w:pPr>
              <w:jc w:val="right"/>
              <w:rPr>
                <w:rFonts w:cstheme="minorHAnsi"/>
                <w:sz w:val="21"/>
                <w:szCs w:val="21"/>
              </w:rPr>
            </w:pPr>
            <w:r w:rsidRPr="008E565D">
              <w:rPr>
                <w:rFonts w:cstheme="minorHAnsi"/>
                <w:sz w:val="21"/>
                <w:szCs w:val="21"/>
              </w:rPr>
              <w:t>12.1%</w:t>
            </w:r>
          </w:p>
        </w:tc>
        <w:tc>
          <w:tcPr>
            <w:tcW w:w="2181" w:type="dxa"/>
            <w:noWrap/>
            <w:hideMark/>
          </w:tcPr>
          <w:p w14:paraId="2654728D" w14:textId="77777777" w:rsidR="007444D9" w:rsidRPr="008E565D" w:rsidRDefault="007444D9" w:rsidP="008370DE">
            <w:pPr>
              <w:jc w:val="right"/>
              <w:rPr>
                <w:rFonts w:cstheme="minorHAnsi"/>
                <w:sz w:val="21"/>
                <w:szCs w:val="21"/>
              </w:rPr>
            </w:pPr>
            <w:r w:rsidRPr="008E565D">
              <w:rPr>
                <w:rFonts w:cstheme="minorHAnsi"/>
                <w:sz w:val="21"/>
                <w:szCs w:val="21"/>
              </w:rPr>
              <w:t>87.9%</w:t>
            </w:r>
          </w:p>
        </w:tc>
      </w:tr>
      <w:tr w:rsidR="007444D9" w:rsidRPr="008E565D" w14:paraId="36CF8CC4" w14:textId="77777777" w:rsidTr="007444D9">
        <w:trPr>
          <w:trHeight w:val="290"/>
        </w:trPr>
        <w:tc>
          <w:tcPr>
            <w:tcW w:w="1860" w:type="dxa"/>
            <w:noWrap/>
            <w:hideMark/>
          </w:tcPr>
          <w:p w14:paraId="7C0A978E" w14:textId="77777777" w:rsidR="007444D9" w:rsidRPr="008E565D" w:rsidRDefault="007444D9" w:rsidP="007444D9">
            <w:pPr>
              <w:rPr>
                <w:rFonts w:cstheme="minorHAnsi"/>
                <w:sz w:val="21"/>
                <w:szCs w:val="21"/>
              </w:rPr>
            </w:pPr>
            <w:r w:rsidRPr="008E565D">
              <w:rPr>
                <w:rFonts w:cstheme="minorHAnsi"/>
                <w:sz w:val="21"/>
                <w:szCs w:val="21"/>
              </w:rPr>
              <w:t>2020</w:t>
            </w:r>
          </w:p>
        </w:tc>
        <w:tc>
          <w:tcPr>
            <w:tcW w:w="1621" w:type="dxa"/>
            <w:noWrap/>
            <w:hideMark/>
          </w:tcPr>
          <w:p w14:paraId="3D65263C" w14:textId="77777777" w:rsidR="007444D9" w:rsidRPr="008E565D" w:rsidRDefault="007444D9" w:rsidP="008370DE">
            <w:pPr>
              <w:jc w:val="right"/>
              <w:rPr>
                <w:rFonts w:cstheme="minorHAnsi"/>
                <w:sz w:val="21"/>
                <w:szCs w:val="21"/>
              </w:rPr>
            </w:pPr>
            <w:r w:rsidRPr="008E565D">
              <w:rPr>
                <w:rFonts w:cstheme="minorHAnsi"/>
                <w:sz w:val="21"/>
                <w:szCs w:val="21"/>
              </w:rPr>
              <w:t>0</w:t>
            </w:r>
          </w:p>
        </w:tc>
        <w:tc>
          <w:tcPr>
            <w:tcW w:w="2058" w:type="dxa"/>
            <w:noWrap/>
            <w:hideMark/>
          </w:tcPr>
          <w:p w14:paraId="6C78AB2E" w14:textId="77777777" w:rsidR="007444D9" w:rsidRPr="008E565D" w:rsidRDefault="007444D9" w:rsidP="008370DE">
            <w:pPr>
              <w:jc w:val="right"/>
              <w:rPr>
                <w:rFonts w:cstheme="minorHAnsi"/>
                <w:sz w:val="21"/>
                <w:szCs w:val="21"/>
              </w:rPr>
            </w:pPr>
            <w:r w:rsidRPr="008E565D">
              <w:rPr>
                <w:rFonts w:cstheme="minorHAnsi"/>
                <w:sz w:val="21"/>
                <w:szCs w:val="21"/>
              </w:rPr>
              <w:t>13.6%</w:t>
            </w:r>
          </w:p>
        </w:tc>
        <w:tc>
          <w:tcPr>
            <w:tcW w:w="2181" w:type="dxa"/>
            <w:noWrap/>
            <w:hideMark/>
          </w:tcPr>
          <w:p w14:paraId="6C4BE650" w14:textId="77777777" w:rsidR="007444D9" w:rsidRPr="008E565D" w:rsidRDefault="007444D9" w:rsidP="008370DE">
            <w:pPr>
              <w:jc w:val="right"/>
              <w:rPr>
                <w:rFonts w:cstheme="minorHAnsi"/>
                <w:sz w:val="21"/>
                <w:szCs w:val="21"/>
              </w:rPr>
            </w:pPr>
            <w:r w:rsidRPr="008E565D">
              <w:rPr>
                <w:rFonts w:cstheme="minorHAnsi"/>
                <w:sz w:val="21"/>
                <w:szCs w:val="21"/>
              </w:rPr>
              <w:t>86.4%</w:t>
            </w:r>
          </w:p>
        </w:tc>
      </w:tr>
    </w:tbl>
    <w:p w14:paraId="4E9F5CA5" w14:textId="77777777" w:rsidR="008370DE" w:rsidRPr="008E565D" w:rsidRDefault="00D8142A" w:rsidP="008370DE">
      <w:pPr>
        <w:spacing w:after="0" w:line="240" w:lineRule="auto"/>
        <w:rPr>
          <w:b/>
          <w:bCs/>
          <w:sz w:val="20"/>
          <w:szCs w:val="20"/>
        </w:rPr>
      </w:pPr>
      <w:r w:rsidRPr="008E565D">
        <w:rPr>
          <w:b/>
          <w:bCs/>
          <w:sz w:val="20"/>
          <w:szCs w:val="20"/>
        </w:rPr>
        <w:t xml:space="preserve">Note: </w:t>
      </w:r>
      <w:r w:rsidRPr="008E565D">
        <w:rPr>
          <w:sz w:val="20"/>
          <w:szCs w:val="20"/>
        </w:rPr>
        <w:t>RY2013 had a negative resource rent.</w:t>
      </w:r>
      <w:r w:rsidR="00B63C6A" w:rsidRPr="008E565D">
        <w:rPr>
          <w:sz w:val="20"/>
          <w:szCs w:val="20"/>
        </w:rPr>
        <w:t xml:space="preserve"> The royalty rates are understood to be provincial only, with no share owing to the federal government. Royalty rate is calculated using royalty data divided by resource rent, and this resulting rate would be the rate applied to the resource value (NPV).</w:t>
      </w:r>
      <w:r w:rsidR="00B63C6A" w:rsidRPr="008E565D">
        <w:rPr>
          <w:b/>
          <w:bCs/>
          <w:sz w:val="20"/>
          <w:szCs w:val="20"/>
        </w:rPr>
        <w:t xml:space="preserve"> </w:t>
      </w:r>
    </w:p>
    <w:p w14:paraId="60A029DD" w14:textId="2D9BD74C" w:rsidR="00B63C6A" w:rsidRPr="008E565D" w:rsidRDefault="00B63C6A" w:rsidP="008370DE">
      <w:pPr>
        <w:spacing w:after="0" w:line="240" w:lineRule="auto"/>
        <w:rPr>
          <w:sz w:val="20"/>
          <w:szCs w:val="20"/>
        </w:rPr>
      </w:pPr>
      <w:r w:rsidRPr="008E565D">
        <w:rPr>
          <w:b/>
          <w:bCs/>
          <w:sz w:val="20"/>
          <w:szCs w:val="20"/>
        </w:rPr>
        <w:t xml:space="preserve">Source: </w:t>
      </w:r>
      <w:r w:rsidRPr="008E565D">
        <w:rPr>
          <w:sz w:val="20"/>
          <w:szCs w:val="20"/>
        </w:rPr>
        <w:t xml:space="preserve">Statistics Canada. </w:t>
      </w:r>
      <w:hyperlink r:id="rId20" w:history="1">
        <w:r w:rsidRPr="008E565D">
          <w:rPr>
            <w:rStyle w:val="Hyperlink"/>
            <w:sz w:val="20"/>
            <w:szCs w:val="20"/>
          </w:rPr>
          <w:t>Table 10-10-0017-01 Canadian government finance statistics for the provincial and territorial governments</w:t>
        </w:r>
      </w:hyperlink>
      <w:r w:rsidRPr="008E565D">
        <w:rPr>
          <w:sz w:val="20"/>
          <w:szCs w:val="20"/>
        </w:rPr>
        <w:t xml:space="preserve">; </w:t>
      </w:r>
      <w:hyperlink r:id="rId21" w:history="1">
        <w:r w:rsidRPr="008E565D">
          <w:rPr>
            <w:rStyle w:val="Hyperlink"/>
            <w:sz w:val="20"/>
            <w:szCs w:val="20"/>
          </w:rPr>
          <w:t>Table 38-10-0006-01 Value of selected natural resource reserves (x 1,000,000)</w:t>
        </w:r>
      </w:hyperlink>
      <w:r w:rsidRPr="008E565D">
        <w:rPr>
          <w:sz w:val="20"/>
          <w:szCs w:val="20"/>
        </w:rPr>
        <w:t xml:space="preserve">. </w:t>
      </w:r>
    </w:p>
    <w:p w14:paraId="3A5592AB" w14:textId="7B72FF10" w:rsidR="001E6923" w:rsidRPr="00D8142A" w:rsidRDefault="001E6923" w:rsidP="000A3F4F">
      <w:pPr>
        <w:spacing w:afterLines="40" w:after="96" w:line="240" w:lineRule="auto"/>
      </w:pPr>
    </w:p>
    <w:p w14:paraId="2ECE9001" w14:textId="0CDE90E2" w:rsidR="00E44B79" w:rsidRPr="00BC6A98" w:rsidRDefault="0056194D" w:rsidP="00E026F0">
      <w:pPr>
        <w:pStyle w:val="Heading3"/>
      </w:pPr>
      <w:r>
        <w:lastRenderedPageBreak/>
        <w:t>3.</w:t>
      </w:r>
      <w:r w:rsidR="00FD7600">
        <w:t>4</w:t>
      </w:r>
      <w:r>
        <w:t xml:space="preserve"> </w:t>
      </w:r>
      <w:r w:rsidR="00E44B79" w:rsidRPr="00BC6A98">
        <w:t>Crude bitumen</w:t>
      </w:r>
    </w:p>
    <w:p w14:paraId="772A54C6" w14:textId="09D42F7F" w:rsidR="0032041E" w:rsidRDefault="000D108A" w:rsidP="0032041E">
      <w:pPr>
        <w:spacing w:afterLines="40" w:after="96" w:line="240" w:lineRule="auto"/>
      </w:pPr>
      <w:r>
        <w:t>In Canada, c</w:t>
      </w:r>
      <w:r w:rsidR="0032041E">
        <w:t xml:space="preserve">rude bitumen is only produced in </w:t>
      </w:r>
      <w:r>
        <w:t xml:space="preserve">the province of </w:t>
      </w:r>
      <w:r w:rsidR="0032041E">
        <w:t xml:space="preserve">Alberta. </w:t>
      </w:r>
      <w:r w:rsidR="0032041E" w:rsidRPr="0026426F">
        <w:t>Alberta’s crude bitumen royalty framework</w:t>
      </w:r>
      <w:r w:rsidR="00525943">
        <w:t xml:space="preserve"> </w:t>
      </w:r>
      <w:r w:rsidR="0032041E" w:rsidRPr="0026426F">
        <w:t xml:space="preserve">is structured as a price-sensitive regime that also depends on the </w:t>
      </w:r>
      <w:r w:rsidR="0032041E">
        <w:t xml:space="preserve">payout </w:t>
      </w:r>
      <w:r w:rsidR="0032041E" w:rsidRPr="0026426F">
        <w:t>status of a project.</w:t>
      </w:r>
      <w:r w:rsidR="00683871">
        <w:rPr>
          <w:rStyle w:val="FootnoteReference"/>
        </w:rPr>
        <w:footnoteReference w:id="15"/>
      </w:r>
      <w:r w:rsidR="0032041E" w:rsidRPr="0026426F">
        <w:t xml:space="preserve"> </w:t>
      </w:r>
      <w:r w:rsidR="0032041E">
        <w:t>Pre-payout</w:t>
      </w:r>
      <w:r w:rsidR="001064C0">
        <w:t xml:space="preserve"> projects</w:t>
      </w:r>
      <w:r w:rsidR="00BC4F01">
        <w:t xml:space="preserve">, </w:t>
      </w:r>
      <w:r w:rsidR="00893080">
        <w:t xml:space="preserve">meaning </w:t>
      </w:r>
      <w:r w:rsidR="00BC4F01">
        <w:t>when capital costs have not yet been recovered,</w:t>
      </w:r>
      <w:r w:rsidR="0032041E">
        <w:t xml:space="preserve"> </w:t>
      </w:r>
      <w:r w:rsidR="00893080">
        <w:t xml:space="preserve">have </w:t>
      </w:r>
      <w:r w:rsidR="00BC4F01">
        <w:t>royalties applied to gross revenue at price-dependant rates. Once a project reaches payout</w:t>
      </w:r>
      <w:r w:rsidR="00BB1C99">
        <w:t xml:space="preserve"> (i.e.</w:t>
      </w:r>
      <w:r w:rsidR="00D020F2">
        <w:t>,</w:t>
      </w:r>
      <w:r w:rsidR="00BB1C99">
        <w:t xml:space="preserve"> </w:t>
      </w:r>
      <w:r w:rsidR="00382D01">
        <w:t>when costs have been recovered</w:t>
      </w:r>
      <w:r w:rsidR="00BB1C99">
        <w:t>)</w:t>
      </w:r>
      <w:r w:rsidR="00B976A6">
        <w:t>,</w:t>
      </w:r>
      <w:r w:rsidR="0032041E">
        <w:t xml:space="preserve"> </w:t>
      </w:r>
      <w:r w:rsidR="00BC4F01" w:rsidRPr="00BC4F01">
        <w:t>royalties increase and are determined by the greater of a gross</w:t>
      </w:r>
      <w:r w:rsidR="00BC4F01" w:rsidRPr="00BC4F01">
        <w:noBreakHyphen/>
        <w:t>revenue royalty or a net</w:t>
      </w:r>
      <w:r w:rsidR="00BC4F01" w:rsidRPr="00BC4F01">
        <w:noBreakHyphen/>
        <w:t>revenue royalty, with bitumen prices playing a much larger role</w:t>
      </w:r>
      <w:r w:rsidR="00BC4F01">
        <w:t xml:space="preserve">. </w:t>
      </w:r>
      <w:r w:rsidR="00382D01">
        <w:t xml:space="preserve">See Appendix B for more detail. </w:t>
      </w:r>
    </w:p>
    <w:p w14:paraId="0EC4BD0C" w14:textId="73618F39" w:rsidR="00830E75" w:rsidRDefault="00893080" w:rsidP="000A3F4F">
      <w:pPr>
        <w:spacing w:afterLines="40" w:after="96" w:line="240" w:lineRule="auto"/>
      </w:pPr>
      <w:r>
        <w:t xml:space="preserve">The </w:t>
      </w:r>
      <w:r w:rsidR="00445D3E">
        <w:t>Alberta</w:t>
      </w:r>
      <w:r>
        <w:t xml:space="preserve"> government</w:t>
      </w:r>
      <w:r w:rsidR="00445D3E">
        <w:t xml:space="preserve"> records and publishe</w:t>
      </w:r>
      <w:r w:rsidR="00881A30">
        <w:t>s</w:t>
      </w:r>
      <w:r w:rsidR="00445D3E">
        <w:t xml:space="preserve"> royalty data. </w:t>
      </w:r>
      <w:r w:rsidR="0026426F">
        <w:t xml:space="preserve">The </w:t>
      </w:r>
      <w:r w:rsidR="00830E75" w:rsidRPr="00830E75">
        <w:t>information</w:t>
      </w:r>
      <w:r w:rsidR="009D111D">
        <w:t>,</w:t>
      </w:r>
      <w:r w:rsidR="0085337B">
        <w:t xml:space="preserve"> available in their published project data</w:t>
      </w:r>
      <w:r>
        <w:t>set</w:t>
      </w:r>
      <w:r w:rsidR="0085337B">
        <w:t xml:space="preserve">, </w:t>
      </w:r>
      <w:r w:rsidR="00830E75" w:rsidRPr="00830E75">
        <w:t>includes a detailed list of crude bitumen projects and the royalties that should be paid based on royalty formulas</w:t>
      </w:r>
      <w:r w:rsidR="00AD7CF8">
        <w:t xml:space="preserve">. </w:t>
      </w:r>
      <w:r w:rsidR="00FF2BD1">
        <w:t xml:space="preserve">The royalty </w:t>
      </w:r>
      <w:r w:rsidR="00FF2BD1" w:rsidRPr="007409AE">
        <w:t>rates</w:t>
      </w:r>
      <w:r w:rsidR="00FF2BD1">
        <w:t xml:space="preserve"> to be used are published in monthly reports that </w:t>
      </w:r>
      <w:r w:rsidR="00FF2BD1" w:rsidRPr="007409AE">
        <w:t>includ</w:t>
      </w:r>
      <w:r w:rsidR="00FF2BD1">
        <w:t>e</w:t>
      </w:r>
      <w:r w:rsidR="00FF2BD1" w:rsidRPr="007409AE">
        <w:t xml:space="preserve"> pre-payout gross rate and post-payout gross/net rates and</w:t>
      </w:r>
      <w:r w:rsidR="00FF2BD1">
        <w:t xml:space="preserve"> the</w:t>
      </w:r>
      <w:r w:rsidR="00FF2BD1" w:rsidRPr="007409AE">
        <w:t xml:space="preserve"> </w:t>
      </w:r>
      <w:r w:rsidR="00FF2BD1">
        <w:t>West Texas Intermediate (</w:t>
      </w:r>
      <w:r w:rsidR="00FF2BD1" w:rsidRPr="007409AE">
        <w:t>WTI</w:t>
      </w:r>
      <w:r w:rsidR="00FF2BD1">
        <w:t>) prices for that period. The</w:t>
      </w:r>
      <w:r w:rsidR="00830E75" w:rsidRPr="00830E75">
        <w:t xml:space="preserve"> province</w:t>
      </w:r>
      <w:r w:rsidR="000547B8">
        <w:t xml:space="preserve"> </w:t>
      </w:r>
      <w:r w:rsidR="00FF2BD1">
        <w:t xml:space="preserve">also </w:t>
      </w:r>
      <w:r w:rsidR="00830E75" w:rsidRPr="00830E75">
        <w:t xml:space="preserve">releases annual resource revenue </w:t>
      </w:r>
      <w:r w:rsidR="0077726E">
        <w:t>workbooks</w:t>
      </w:r>
      <w:bookmarkStart w:id="4" w:name="_Ref233640452"/>
      <w:r w:rsidR="009D111D">
        <w:rPr>
          <w:rStyle w:val="FootnoteReference"/>
        </w:rPr>
        <w:footnoteReference w:id="16"/>
      </w:r>
      <w:bookmarkEnd w:id="4"/>
      <w:r w:rsidR="0077726E" w:rsidRPr="00830E75">
        <w:t xml:space="preserve"> </w:t>
      </w:r>
      <w:r w:rsidR="00830E75" w:rsidRPr="00830E75">
        <w:t>showing the royalties</w:t>
      </w:r>
      <w:r w:rsidR="00FF2BD1">
        <w:t xml:space="preserve"> actually</w:t>
      </w:r>
      <w:r w:rsidR="00830E75" w:rsidRPr="00830E75">
        <w:t xml:space="preserve"> </w:t>
      </w:r>
      <w:r w:rsidR="0013417F" w:rsidRPr="00830E75">
        <w:t>collected</w:t>
      </w:r>
      <w:r w:rsidR="00E827DA">
        <w:t xml:space="preserve"> </w:t>
      </w:r>
      <w:r w:rsidR="00830E75" w:rsidRPr="00830E75">
        <w:t>from oil sands</w:t>
      </w:r>
      <w:r w:rsidR="00FF2BD1">
        <w:t xml:space="preserve"> at the end of the production period.</w:t>
      </w:r>
      <w:r w:rsidR="00AD7CF8">
        <w:t xml:space="preserve"> </w:t>
      </w:r>
      <w:r w:rsidR="00FF2BD1">
        <w:t>In all</w:t>
      </w:r>
      <w:r w:rsidR="00120926">
        <w:t>,</w:t>
      </w:r>
      <w:r w:rsidR="00376300">
        <w:t xml:space="preserve"> </w:t>
      </w:r>
      <w:r w:rsidR="00445D3E" w:rsidRPr="00445D3E">
        <w:t xml:space="preserve">for crude bitumen, both the </w:t>
      </w:r>
      <w:r w:rsidR="00B0496A">
        <w:t>potential</w:t>
      </w:r>
      <w:r w:rsidR="00445D3E" w:rsidRPr="00445D3E">
        <w:t xml:space="preserve"> royalty amounts and the </w:t>
      </w:r>
      <w:r w:rsidR="00B0496A">
        <w:t>captured</w:t>
      </w:r>
      <w:r w:rsidR="00214243">
        <w:t xml:space="preserve"> </w:t>
      </w:r>
      <w:r w:rsidR="00445D3E" w:rsidRPr="00445D3E">
        <w:t>r</w:t>
      </w:r>
      <w:r w:rsidR="00881A30">
        <w:t>oyalt</w:t>
      </w:r>
      <w:r w:rsidR="00FF2BD1">
        <w:t>y receipts</w:t>
      </w:r>
      <w:r w:rsidR="00445D3E" w:rsidRPr="00445D3E">
        <w:t xml:space="preserve"> are available.</w:t>
      </w:r>
    </w:p>
    <w:p w14:paraId="79D6480F" w14:textId="5CF9584B" w:rsidR="00830E75" w:rsidRDefault="00445D3E" w:rsidP="000A3F4F">
      <w:pPr>
        <w:spacing w:afterLines="40" w:after="96" w:line="240" w:lineRule="auto"/>
      </w:pPr>
      <w:r w:rsidRPr="00445D3E">
        <w:t>Additional royalty data</w:t>
      </w:r>
      <w:r w:rsidR="007C53E4">
        <w:t xml:space="preserve"> for oil sands</w:t>
      </w:r>
      <w:r w:rsidRPr="00445D3E">
        <w:t xml:space="preserve"> is published by the Canadian Association of Petroleum Producers (CAPP</w:t>
      </w:r>
      <w:r w:rsidR="0026426F" w:rsidRPr="00445D3E">
        <w:t>).</w:t>
      </w:r>
      <w:r w:rsidR="0026426F" w:rsidRPr="00830E75">
        <w:t xml:space="preserve"> While</w:t>
      </w:r>
      <w:r w:rsidR="00830E75" w:rsidRPr="00830E75">
        <w:t xml:space="preserve"> this dataset does not fully align with </w:t>
      </w:r>
      <w:r w:rsidR="00517066">
        <w:t xml:space="preserve">the Government of </w:t>
      </w:r>
      <w:r w:rsidR="00830E75" w:rsidRPr="00830E75">
        <w:t>Alberta’s published</w:t>
      </w:r>
      <w:r w:rsidR="00E06131">
        <w:t xml:space="preserve"> </w:t>
      </w:r>
      <w:r w:rsidR="00517066">
        <w:t xml:space="preserve">royalty </w:t>
      </w:r>
      <w:r w:rsidR="008E16FB">
        <w:t>recei</w:t>
      </w:r>
      <w:r w:rsidR="00517066">
        <w:t>pts</w:t>
      </w:r>
      <w:r w:rsidR="00830E75" w:rsidRPr="00830E75">
        <w:t xml:space="preserve">, it does match the </w:t>
      </w:r>
      <w:r w:rsidR="001F743E">
        <w:t>potential royalty</w:t>
      </w:r>
      <w:r w:rsidR="00830E75" w:rsidRPr="00830E75">
        <w:t xml:space="preserve"> values </w:t>
      </w:r>
      <w:r w:rsidR="003A4BDA">
        <w:t>that Alberta releases</w:t>
      </w:r>
      <w:r w:rsidR="007338BA">
        <w:t>.</w:t>
      </w:r>
    </w:p>
    <w:p w14:paraId="4712A92C" w14:textId="77777777" w:rsidR="002A59E1" w:rsidRDefault="002A59E1" w:rsidP="000A3F4F">
      <w:pPr>
        <w:spacing w:afterLines="40" w:after="96" w:line="240" w:lineRule="auto"/>
      </w:pPr>
    </w:p>
    <w:p w14:paraId="2CC6B5CF" w14:textId="66F8EB74" w:rsidR="00BC6A98" w:rsidRPr="00E026F0" w:rsidRDefault="0056194D" w:rsidP="00E026F0">
      <w:pPr>
        <w:rPr>
          <w:b/>
          <w:bCs/>
        </w:rPr>
      </w:pPr>
      <w:r w:rsidRPr="00E026F0">
        <w:rPr>
          <w:b/>
          <w:bCs/>
        </w:rPr>
        <w:t>3.</w:t>
      </w:r>
      <w:r w:rsidR="000D108A">
        <w:rPr>
          <w:b/>
          <w:bCs/>
        </w:rPr>
        <w:t>4</w:t>
      </w:r>
      <w:r w:rsidRPr="00E026F0">
        <w:rPr>
          <w:b/>
          <w:bCs/>
        </w:rPr>
        <w:t xml:space="preserve">.1 </w:t>
      </w:r>
      <w:r w:rsidR="007843FA">
        <w:rPr>
          <w:b/>
          <w:bCs/>
        </w:rPr>
        <w:t xml:space="preserve">Results and </w:t>
      </w:r>
      <w:r w:rsidR="00683871">
        <w:rPr>
          <w:b/>
          <w:bCs/>
        </w:rPr>
        <w:t>c</w:t>
      </w:r>
      <w:r w:rsidR="00BC6A98" w:rsidRPr="00E026F0">
        <w:rPr>
          <w:b/>
          <w:bCs/>
        </w:rPr>
        <w:t>hallenges</w:t>
      </w:r>
    </w:p>
    <w:p w14:paraId="1BFEA2B8" w14:textId="0140198F" w:rsidR="009434C9" w:rsidRDefault="0026426F" w:rsidP="007D23A6">
      <w:pPr>
        <w:spacing w:afterLines="40" w:after="96" w:line="240" w:lineRule="auto"/>
      </w:pPr>
      <w:bookmarkStart w:id="5" w:name="_Hlk207878726"/>
      <w:r w:rsidRPr="0026426F">
        <w:t>A royalty rate for crude bitumen can be calculated directly</w:t>
      </w:r>
      <w:r>
        <w:t xml:space="preserve"> using </w:t>
      </w:r>
      <w:r w:rsidR="006B2DB3">
        <w:t>Alberta’s</w:t>
      </w:r>
      <w:r>
        <w:t xml:space="preserve"> royalty formulas</w:t>
      </w:r>
      <w:r w:rsidR="009434C9">
        <w:t xml:space="preserve"> and monthly royalty rate reports</w:t>
      </w:r>
      <w:r w:rsidRPr="0026426F">
        <w:t xml:space="preserve">; however, </w:t>
      </w:r>
      <w:r w:rsidR="009434C9">
        <w:t xml:space="preserve">consistent with the approach used elsewhere in this analysis, the available royalty revenue data was instead used to allocate the resource value between economic owners. </w:t>
      </w:r>
      <w:r w:rsidR="009434C9" w:rsidRPr="009434C9">
        <w:t>The three available sources of royalty revenue are compared below to assess their suitability for this purpose.</w:t>
      </w:r>
    </w:p>
    <w:p w14:paraId="3568DC70" w14:textId="06954476" w:rsidR="0061775D" w:rsidRDefault="0061775D" w:rsidP="007D23A6">
      <w:pPr>
        <w:spacing w:afterLines="40" w:after="96" w:line="240" w:lineRule="auto"/>
      </w:pPr>
      <w:r>
        <w:t xml:space="preserve">Tables </w:t>
      </w:r>
      <w:r w:rsidR="00CE0B1D">
        <w:t>9</w:t>
      </w:r>
      <w:r>
        <w:t xml:space="preserve"> and </w:t>
      </w:r>
      <w:r w:rsidR="00CE0B1D">
        <w:t>10</w:t>
      </w:r>
      <w:r>
        <w:t xml:space="preserve"> show CAPP royalty data compared to the royalty data </w:t>
      </w:r>
      <w:r w:rsidR="00517066">
        <w:t xml:space="preserve">currently </w:t>
      </w:r>
      <w:r>
        <w:t xml:space="preserve">used in the NRAA. </w:t>
      </w:r>
      <w:r w:rsidR="003E68D2">
        <w:t>T</w:t>
      </w:r>
      <w:r w:rsidR="00083274" w:rsidRPr="00083274">
        <w:t xml:space="preserve">he rates derived from the CAPP data are specific to </w:t>
      </w:r>
      <w:r>
        <w:t>crude bitumen projects</w:t>
      </w:r>
      <w:r w:rsidR="003E68D2">
        <w:t xml:space="preserve">, whereas it is important to remember that the royalty rates in the current NRAA methodology are calculated from total subsoil royalty divided by </w:t>
      </w:r>
      <w:r w:rsidR="00AD6BE7">
        <w:t xml:space="preserve">resource </w:t>
      </w:r>
      <w:r w:rsidR="003E68D2">
        <w:t>rent</w:t>
      </w:r>
      <w:r w:rsidR="00083274" w:rsidRPr="00083274">
        <w:t xml:space="preserve">. </w:t>
      </w:r>
      <w:r w:rsidR="00E476C8">
        <w:t>G</w:t>
      </w:r>
      <w:r w:rsidR="00083274" w:rsidRPr="00083274">
        <w:t xml:space="preserve">iven the </w:t>
      </w:r>
      <w:r w:rsidR="00BB32F5" w:rsidRPr="00083274">
        <w:t>dominati</w:t>
      </w:r>
      <w:r w:rsidR="00BB32F5">
        <w:t>ng</w:t>
      </w:r>
      <w:r w:rsidR="00083274" w:rsidRPr="00083274">
        <w:t xml:space="preserve"> contribution of crude </w:t>
      </w:r>
      <w:r w:rsidR="00BB32F5" w:rsidRPr="00083274">
        <w:t>bitumen to</w:t>
      </w:r>
      <w:r w:rsidR="00083274" w:rsidRPr="00083274">
        <w:t xml:space="preserve"> total royalty revenues, the resulting NRAA rates are therefore strongly weighted toward crude bitumen.</w:t>
      </w:r>
      <w:r w:rsidR="00083274">
        <w:t xml:space="preserve"> So, </w:t>
      </w:r>
      <w:r w:rsidR="00083274" w:rsidRPr="00083274">
        <w:t>the use of the NRAA rates as a comparative benchmark in this context is considered sufficient.</w:t>
      </w:r>
      <w:r w:rsidR="00083274">
        <w:t xml:space="preserve"> </w:t>
      </w:r>
      <w:r w:rsidR="00E476C8" w:rsidRPr="007F66FC">
        <w:t xml:space="preserve">The results indicate that the provincial share for crude bitumen is substantially larger than that observed for gold and potash. This is consistent with the structure of crude bitumen royalty regimes, where royalty rates are generally higher and more frequently linked to price. </w:t>
      </w:r>
    </w:p>
    <w:p w14:paraId="6EFE35FF" w14:textId="053C95F4" w:rsidR="009E2CB1" w:rsidRDefault="00D05B77" w:rsidP="007D23A6">
      <w:pPr>
        <w:spacing w:afterLines="40" w:after="96" w:line="240" w:lineRule="auto"/>
      </w:pPr>
      <w:r w:rsidRPr="00D05B77">
        <w:t xml:space="preserve">Tables </w:t>
      </w:r>
      <w:r w:rsidR="00E92766">
        <w:t>1</w:t>
      </w:r>
      <w:r w:rsidR="00CE0B1D">
        <w:t>1</w:t>
      </w:r>
      <w:r w:rsidRPr="00D05B77">
        <w:t xml:space="preserve"> </w:t>
      </w:r>
      <w:r w:rsidR="009E2CB1">
        <w:t xml:space="preserve">shows the split ownership of crude bitumen NPV using Alberta royalty receipts and the results are very similar to those observed from CAPP data. </w:t>
      </w:r>
    </w:p>
    <w:p w14:paraId="1EF03D15" w14:textId="16288CE2" w:rsidR="007D23A6" w:rsidRPr="007D23A6" w:rsidRDefault="009E2CB1" w:rsidP="007D23A6">
      <w:pPr>
        <w:spacing w:afterLines="40" w:after="96" w:line="240" w:lineRule="auto"/>
      </w:pPr>
      <w:r>
        <w:t>A deeper dive into Alberta’s many royalty data</w:t>
      </w:r>
      <w:r w:rsidR="00683871">
        <w:t>sets</w:t>
      </w:r>
      <w:r>
        <w:t xml:space="preserve"> is shown in Tables</w:t>
      </w:r>
      <w:r w:rsidR="00D05B77" w:rsidRPr="00D05B77">
        <w:t xml:space="preserve"> </w:t>
      </w:r>
      <w:r w:rsidR="00E92766">
        <w:t>1</w:t>
      </w:r>
      <w:r w:rsidR="00CE0B1D">
        <w:t>2</w:t>
      </w:r>
      <w:r>
        <w:t xml:space="preserve"> and 1</w:t>
      </w:r>
      <w:r w:rsidR="00CE0B1D">
        <w:t>3</w:t>
      </w:r>
      <w:r>
        <w:t xml:space="preserve">, which </w:t>
      </w:r>
      <w:r w:rsidR="00D05B77" w:rsidRPr="00D05B77">
        <w:t>show the average royalty rate</w:t>
      </w:r>
      <w:r w:rsidR="00D05B77">
        <w:t xml:space="preserve"> and </w:t>
      </w:r>
      <w:r w:rsidR="00D05B77" w:rsidRPr="00D05B77">
        <w:t>the total royalties payable across oil sands projects</w:t>
      </w:r>
      <w:r>
        <w:t xml:space="preserve">, respectively. </w:t>
      </w:r>
      <w:r w:rsidR="00D05B77">
        <w:t>Th</w:t>
      </w:r>
      <w:r w:rsidR="008E16FB">
        <w:t>ese values can be different tha</w:t>
      </w:r>
      <w:r w:rsidR="00E06131">
        <w:t>n</w:t>
      </w:r>
      <w:r w:rsidR="008E16FB">
        <w:t xml:space="preserve"> what Alberta </w:t>
      </w:r>
      <w:r w:rsidR="00E95685">
        <w:t>was paid</w:t>
      </w:r>
      <w:r>
        <w:t xml:space="preserve"> (Table 1</w:t>
      </w:r>
      <w:r w:rsidR="00CE0B1D">
        <w:t>4</w:t>
      </w:r>
      <w:r>
        <w:t>)</w:t>
      </w:r>
      <w:r w:rsidR="008E16FB">
        <w:t>.</w:t>
      </w:r>
      <w:r w:rsidR="00BE705C">
        <w:t xml:space="preserve"> </w:t>
      </w:r>
      <w:r w:rsidR="00F36619">
        <w:t xml:space="preserve">As an </w:t>
      </w:r>
      <w:r w:rsidR="00BE705C">
        <w:t xml:space="preserve">example, </w:t>
      </w:r>
      <w:r w:rsidR="00F36619" w:rsidRPr="00F36619">
        <w:t xml:space="preserve">Alberta’s project-level report indicates that total royalties payable to the Crown for all crude bitumen projects in 2022 should amount to approximately $19 billion. </w:t>
      </w:r>
      <w:r w:rsidR="00F36619">
        <w:t>Yet</w:t>
      </w:r>
      <w:r w:rsidR="00F36619" w:rsidRPr="00F36619">
        <w:t>, the province’s annual resource revenue</w:t>
      </w:r>
      <w:r w:rsidR="0077726E">
        <w:t>, released in their Royalty summary revenue workboo</w:t>
      </w:r>
      <w:r w:rsidR="00CD103B">
        <w:t>k</w:t>
      </w:r>
      <w:r w:rsidR="00683871">
        <w:t>,</w:t>
      </w:r>
      <w:r w:rsidR="00CD103B" w:rsidRPr="00CD103B">
        <w:rPr>
          <w:vertAlign w:val="superscript"/>
        </w:rPr>
        <w:fldChar w:fldCharType="begin"/>
      </w:r>
      <w:r w:rsidR="00CD103B" w:rsidRPr="00CD103B">
        <w:rPr>
          <w:vertAlign w:val="superscript"/>
        </w:rPr>
        <w:instrText xml:space="preserve"> NOTEREF _Ref233640452 \h </w:instrText>
      </w:r>
      <w:r w:rsidR="00CD103B">
        <w:rPr>
          <w:vertAlign w:val="superscript"/>
        </w:rPr>
        <w:instrText xml:space="preserve"> \* MERGEFORMAT </w:instrText>
      </w:r>
      <w:r w:rsidR="00CD103B" w:rsidRPr="00CD103B">
        <w:rPr>
          <w:vertAlign w:val="superscript"/>
        </w:rPr>
      </w:r>
      <w:r w:rsidR="00CD103B" w:rsidRPr="00CD103B">
        <w:rPr>
          <w:vertAlign w:val="superscript"/>
        </w:rPr>
        <w:fldChar w:fldCharType="separate"/>
      </w:r>
      <w:r w:rsidR="009457DB">
        <w:rPr>
          <w:vertAlign w:val="superscript"/>
        </w:rPr>
        <w:t>14</w:t>
      </w:r>
      <w:r w:rsidR="00CD103B" w:rsidRPr="00CD103B">
        <w:rPr>
          <w:vertAlign w:val="superscript"/>
        </w:rPr>
        <w:fldChar w:fldCharType="end"/>
      </w:r>
      <w:r w:rsidR="00F36619" w:rsidRPr="00F36619">
        <w:t xml:space="preserve"> shows that $16.8 billion in royalties was collected </w:t>
      </w:r>
      <w:r w:rsidR="00887651">
        <w:t>in 2022</w:t>
      </w:r>
      <w:r w:rsidR="007D23A6">
        <w:t>.</w:t>
      </w:r>
      <w:r w:rsidR="004745AA">
        <w:t xml:space="preserve"> Reasons for </w:t>
      </w:r>
      <w:r w:rsidR="004745AA">
        <w:lastRenderedPageBreak/>
        <w:t xml:space="preserve">the difference between what was payable and received may be due to price changes, and/or deferral of payments. </w:t>
      </w:r>
    </w:p>
    <w:bookmarkEnd w:id="5"/>
    <w:p w14:paraId="6C3794D6" w14:textId="29D6A30E" w:rsidR="00370104" w:rsidRDefault="00EE7580" w:rsidP="000A3F4F">
      <w:pPr>
        <w:spacing w:afterLines="40" w:after="96" w:line="240" w:lineRule="auto"/>
        <w:rPr>
          <w:sz w:val="20"/>
          <w:szCs w:val="20"/>
        </w:rPr>
      </w:pPr>
      <w:r w:rsidRPr="00900386">
        <w:t>At present, available information does not clearly establish the role of the federal government in the collection of royalties from oil sands projects.</w:t>
      </w:r>
      <w:r>
        <w:t xml:space="preserve"> </w:t>
      </w:r>
      <w:r w:rsidR="0026426F" w:rsidRPr="0026426F">
        <w:t>According to the Alberta Oil Sands Royalty Guidelines</w:t>
      </w:r>
      <w:r w:rsidR="001064C0">
        <w:t>,</w:t>
      </w:r>
      <w:r w:rsidR="00B81984">
        <w:fldChar w:fldCharType="begin"/>
      </w:r>
      <w:r w:rsidR="00B81984">
        <w:instrText xml:space="preserve"> NOTEREF _Ref232069751 \f \h </w:instrText>
      </w:r>
      <w:r w:rsidR="00B81984">
        <w:fldChar w:fldCharType="separate"/>
      </w:r>
      <w:r w:rsidR="009457DB" w:rsidRPr="003E68D2">
        <w:rPr>
          <w:rStyle w:val="FootnoteReference"/>
        </w:rPr>
        <w:t>13</w:t>
      </w:r>
      <w:r w:rsidR="00B81984">
        <w:fldChar w:fldCharType="end"/>
      </w:r>
      <w:r w:rsidR="0026426F" w:rsidRPr="0026426F">
        <w:t xml:space="preserve"> the Alberta Crown holds ownership of 97% of oil sands mineral rights, while</w:t>
      </w:r>
      <w:r w:rsidR="00C00454">
        <w:t xml:space="preserve"> freehold owners</w:t>
      </w:r>
      <w:r w:rsidR="0026426F" w:rsidRPr="0026426F">
        <w:t xml:space="preserve"> account for the remaining 3%</w:t>
      </w:r>
      <w:r w:rsidR="001065D1">
        <w:t>.</w:t>
      </w:r>
      <w:r w:rsidR="00C50E03">
        <w:t xml:space="preserve"> According to Alberta, freehold mineral rights can</w:t>
      </w:r>
      <w:r w:rsidR="00C50E03" w:rsidRPr="00C03AFE">
        <w:t xml:space="preserve"> </w:t>
      </w:r>
      <w:r w:rsidR="00C50E03">
        <w:t xml:space="preserve">be owned by </w:t>
      </w:r>
      <w:r w:rsidR="00C50E03" w:rsidRPr="00C03AFE">
        <w:t>the federal government on behalf of First Nations or in national parks, and by individuals and companies</w:t>
      </w:r>
      <w:r w:rsidR="006225E6">
        <w:t>.</w:t>
      </w:r>
      <w:r w:rsidR="00330758">
        <w:rPr>
          <w:rStyle w:val="FootnoteReference"/>
        </w:rPr>
        <w:footnoteReference w:id="17"/>
      </w:r>
      <w:r w:rsidR="00C50E03">
        <w:t xml:space="preserve"> </w:t>
      </w:r>
      <w:r w:rsidR="00C00454">
        <w:t xml:space="preserve">Only projects whose oil sands rights are owned by the Alberta government are subject to its royalty framework. </w:t>
      </w:r>
      <w:r w:rsidR="008A5C5E">
        <w:t xml:space="preserve">Contrarily, </w:t>
      </w:r>
      <w:r w:rsidR="00C50E03">
        <w:t xml:space="preserve">Alberta also has a Freehold Mineral Tax on oil and gas mineral </w:t>
      </w:r>
      <w:r w:rsidR="00CB40E3">
        <w:t>rights,</w:t>
      </w:r>
      <w:r w:rsidR="00C50E03">
        <w:t xml:space="preserve"> and it applies to those</w:t>
      </w:r>
      <w:r w:rsidR="00517066">
        <w:t xml:space="preserve"> resources</w:t>
      </w:r>
      <w:r w:rsidR="00C50E03">
        <w:t xml:space="preserve"> not owned by the </w:t>
      </w:r>
      <w:r w:rsidR="00C50E03" w:rsidRPr="00C03AFE">
        <w:t>Government of Alberta, the Government of Canada or located on an Indian Reserve</w:t>
      </w:r>
      <w:r w:rsidR="006225E6">
        <w:t>.</w:t>
      </w:r>
      <w:r w:rsidR="00330758">
        <w:rPr>
          <w:rStyle w:val="FootnoteReference"/>
        </w:rPr>
        <w:footnoteReference w:id="18"/>
      </w:r>
      <w:r w:rsidR="00C50E03">
        <w:t xml:space="preserve"> </w:t>
      </w:r>
    </w:p>
    <w:p w14:paraId="794DD275" w14:textId="77777777" w:rsidR="00525943" w:rsidRDefault="001A75F7" w:rsidP="00891CBB">
      <w:pPr>
        <w:spacing w:after="0" w:line="240" w:lineRule="auto"/>
        <w:rPr>
          <w:b/>
          <w:bCs/>
          <w:sz w:val="20"/>
          <w:szCs w:val="20"/>
        </w:rPr>
      </w:pPr>
      <w:r w:rsidRPr="00DE028F">
        <w:rPr>
          <w:b/>
          <w:bCs/>
          <w:sz w:val="20"/>
          <w:szCs w:val="20"/>
        </w:rPr>
        <w:t xml:space="preserve">Table </w:t>
      </w:r>
      <w:r w:rsidR="00CE0B1D">
        <w:rPr>
          <w:b/>
          <w:bCs/>
          <w:sz w:val="20"/>
          <w:szCs w:val="20"/>
        </w:rPr>
        <w:t>9</w:t>
      </w:r>
    </w:p>
    <w:p w14:paraId="138B8871" w14:textId="793A9709" w:rsidR="001B0AA1" w:rsidRPr="00DE028F" w:rsidRDefault="009A6241" w:rsidP="00891CBB">
      <w:pPr>
        <w:spacing w:after="0" w:line="240" w:lineRule="auto"/>
        <w:rPr>
          <w:b/>
          <w:bCs/>
          <w:sz w:val="20"/>
          <w:szCs w:val="20"/>
        </w:rPr>
      </w:pPr>
      <w:r w:rsidRPr="00DE028F">
        <w:rPr>
          <w:b/>
          <w:bCs/>
          <w:sz w:val="20"/>
          <w:szCs w:val="20"/>
        </w:rPr>
        <w:t>Compari</w:t>
      </w:r>
      <w:r w:rsidR="00DF309A">
        <w:rPr>
          <w:b/>
          <w:bCs/>
          <w:sz w:val="20"/>
          <w:szCs w:val="20"/>
        </w:rPr>
        <w:t>son of</w:t>
      </w:r>
      <w:r w:rsidRPr="00DE028F">
        <w:rPr>
          <w:b/>
          <w:bCs/>
          <w:sz w:val="20"/>
          <w:szCs w:val="20"/>
        </w:rPr>
        <w:t xml:space="preserve"> </w:t>
      </w:r>
      <w:r w:rsidR="00C35457">
        <w:rPr>
          <w:b/>
          <w:bCs/>
          <w:sz w:val="20"/>
          <w:szCs w:val="20"/>
        </w:rPr>
        <w:t>value</w:t>
      </w:r>
      <w:r w:rsidRPr="00DE028F">
        <w:rPr>
          <w:b/>
          <w:bCs/>
          <w:sz w:val="20"/>
          <w:szCs w:val="20"/>
        </w:rPr>
        <w:t xml:space="preserve"> </w:t>
      </w:r>
      <w:r w:rsidR="000F7E63">
        <w:rPr>
          <w:b/>
          <w:bCs/>
          <w:sz w:val="20"/>
          <w:szCs w:val="20"/>
        </w:rPr>
        <w:t xml:space="preserve">allocation </w:t>
      </w:r>
      <w:r w:rsidR="00DF309A">
        <w:rPr>
          <w:b/>
          <w:bCs/>
          <w:sz w:val="20"/>
          <w:szCs w:val="20"/>
        </w:rPr>
        <w:t>between</w:t>
      </w:r>
      <w:r w:rsidRPr="00DE028F">
        <w:rPr>
          <w:b/>
          <w:bCs/>
          <w:sz w:val="20"/>
          <w:szCs w:val="20"/>
        </w:rPr>
        <w:t xml:space="preserve"> </w:t>
      </w:r>
      <w:r w:rsidR="00DF309A">
        <w:rPr>
          <w:b/>
          <w:bCs/>
          <w:sz w:val="20"/>
          <w:szCs w:val="20"/>
        </w:rPr>
        <w:t xml:space="preserve">royalty estimates from </w:t>
      </w:r>
      <w:r w:rsidRPr="00DE028F">
        <w:rPr>
          <w:b/>
          <w:bCs/>
          <w:sz w:val="20"/>
          <w:szCs w:val="20"/>
        </w:rPr>
        <w:t xml:space="preserve">current method and </w:t>
      </w:r>
      <w:r w:rsidR="008A4EFE">
        <w:rPr>
          <w:b/>
          <w:bCs/>
          <w:sz w:val="20"/>
          <w:szCs w:val="20"/>
        </w:rPr>
        <w:t>alternate</w:t>
      </w:r>
      <w:r w:rsidRPr="00DE028F">
        <w:rPr>
          <w:b/>
          <w:bCs/>
          <w:sz w:val="20"/>
          <w:szCs w:val="20"/>
        </w:rPr>
        <w:t xml:space="preserve"> method</w:t>
      </w:r>
      <w:r w:rsidR="009434C9">
        <w:rPr>
          <w:b/>
          <w:bCs/>
          <w:sz w:val="20"/>
          <w:szCs w:val="20"/>
        </w:rPr>
        <w:t xml:space="preserve"> using CAPP data</w:t>
      </w:r>
      <w:r w:rsidR="00C35457">
        <w:rPr>
          <w:b/>
          <w:bCs/>
          <w:sz w:val="20"/>
          <w:szCs w:val="20"/>
        </w:rPr>
        <w:t>, 2010 to 2020</w:t>
      </w:r>
    </w:p>
    <w:tbl>
      <w:tblPr>
        <w:tblW w:w="10182" w:type="dxa"/>
        <w:tblInd w:w="-5" w:type="dxa"/>
        <w:tblLook w:val="04A0" w:firstRow="1" w:lastRow="0" w:firstColumn="1" w:lastColumn="0" w:noHBand="0" w:noVBand="1"/>
      </w:tblPr>
      <w:tblGrid>
        <w:gridCol w:w="696"/>
        <w:gridCol w:w="1147"/>
        <w:gridCol w:w="987"/>
        <w:gridCol w:w="1985"/>
        <w:gridCol w:w="1219"/>
        <w:gridCol w:w="850"/>
        <w:gridCol w:w="1955"/>
        <w:gridCol w:w="1343"/>
      </w:tblGrid>
      <w:tr w:rsidR="00CA68CA" w:rsidRPr="00525943" w14:paraId="26D8486E" w14:textId="77777777" w:rsidTr="00D94E46">
        <w:trPr>
          <w:trHeight w:val="1141"/>
        </w:trPr>
        <w:tc>
          <w:tcPr>
            <w:tcW w:w="696" w:type="dxa"/>
            <w:tcBorders>
              <w:top w:val="single" w:sz="4" w:space="0" w:color="auto"/>
              <w:left w:val="single" w:sz="4" w:space="0" w:color="auto"/>
              <w:bottom w:val="single" w:sz="4" w:space="0" w:color="auto"/>
              <w:right w:val="single" w:sz="4" w:space="0" w:color="auto"/>
            </w:tcBorders>
            <w:noWrap/>
            <w:vAlign w:val="bottom"/>
            <w:hideMark/>
          </w:tcPr>
          <w:p w14:paraId="1A1CF0DF" w14:textId="64E54264" w:rsidR="001B0AA1" w:rsidRPr="00525943" w:rsidRDefault="001B0AA1" w:rsidP="00BD0773">
            <w:pPr>
              <w:spacing w:after="0" w:line="240" w:lineRule="auto"/>
              <w:jc w:val="center"/>
              <w:rPr>
                <w:rFonts w:eastAsia="Times New Roman" w:cstheme="minorHAnsi"/>
                <w:b/>
                <w:bCs/>
                <w:sz w:val="20"/>
                <w:szCs w:val="20"/>
                <w:lang w:eastAsia="en-CA"/>
              </w:rPr>
            </w:pPr>
            <w:r w:rsidRPr="00525943">
              <w:rPr>
                <w:rFonts w:eastAsia="Times New Roman" w:cstheme="minorHAnsi"/>
                <w:b/>
                <w:bCs/>
                <w:sz w:val="20"/>
                <w:szCs w:val="20"/>
                <w:lang w:eastAsia="en-CA"/>
              </w:rPr>
              <w:t> </w:t>
            </w:r>
            <w:r w:rsidR="00525943" w:rsidRPr="00525943">
              <w:rPr>
                <w:rFonts w:eastAsia="Times New Roman" w:cstheme="minorHAnsi"/>
                <w:b/>
                <w:bCs/>
                <w:sz w:val="20"/>
                <w:szCs w:val="20"/>
                <w:lang w:eastAsia="en-CA"/>
              </w:rPr>
              <w:t>Year</w:t>
            </w:r>
          </w:p>
        </w:tc>
        <w:tc>
          <w:tcPr>
            <w:tcW w:w="1147" w:type="dxa"/>
            <w:tcBorders>
              <w:top w:val="single" w:sz="4" w:space="0" w:color="auto"/>
              <w:left w:val="nil"/>
              <w:bottom w:val="single" w:sz="4" w:space="0" w:color="auto"/>
              <w:right w:val="single" w:sz="4" w:space="0" w:color="auto"/>
            </w:tcBorders>
            <w:vAlign w:val="center"/>
            <w:hideMark/>
          </w:tcPr>
          <w:p w14:paraId="635158FA" w14:textId="27AB102A" w:rsidR="001B0AA1" w:rsidRPr="00525943" w:rsidRDefault="001B0AA1" w:rsidP="00BD0773">
            <w:pPr>
              <w:spacing w:after="0" w:line="240" w:lineRule="auto"/>
              <w:jc w:val="center"/>
              <w:rPr>
                <w:rFonts w:eastAsia="Times New Roman" w:cstheme="minorHAnsi"/>
                <w:b/>
                <w:bCs/>
                <w:sz w:val="20"/>
                <w:szCs w:val="20"/>
                <w:lang w:eastAsia="en-CA"/>
              </w:rPr>
            </w:pPr>
            <w:r w:rsidRPr="00525943">
              <w:rPr>
                <w:rFonts w:eastAsia="Times New Roman" w:cstheme="minorHAnsi"/>
                <w:b/>
                <w:bCs/>
                <w:sz w:val="20"/>
                <w:szCs w:val="20"/>
                <w:lang w:eastAsia="en-CA"/>
              </w:rPr>
              <w:t xml:space="preserve">Present </w:t>
            </w:r>
            <w:r w:rsidR="001064C0">
              <w:rPr>
                <w:rFonts w:eastAsia="Times New Roman" w:cstheme="minorHAnsi"/>
                <w:b/>
                <w:bCs/>
                <w:sz w:val="20"/>
                <w:szCs w:val="20"/>
                <w:lang w:eastAsia="en-CA"/>
              </w:rPr>
              <w:t>v</w:t>
            </w:r>
            <w:r w:rsidRPr="00525943">
              <w:rPr>
                <w:rFonts w:eastAsia="Times New Roman" w:cstheme="minorHAnsi"/>
                <w:b/>
                <w:bCs/>
                <w:sz w:val="20"/>
                <w:szCs w:val="20"/>
                <w:lang w:eastAsia="en-CA"/>
              </w:rPr>
              <w:t xml:space="preserve">alue (on </w:t>
            </w:r>
            <w:r w:rsidR="001064C0">
              <w:rPr>
                <w:rFonts w:eastAsia="Times New Roman" w:cstheme="minorHAnsi"/>
                <w:b/>
                <w:bCs/>
                <w:sz w:val="20"/>
                <w:szCs w:val="20"/>
                <w:lang w:eastAsia="en-CA"/>
              </w:rPr>
              <w:t>n</w:t>
            </w:r>
            <w:r w:rsidRPr="00525943">
              <w:rPr>
                <w:rFonts w:eastAsia="Times New Roman" w:cstheme="minorHAnsi"/>
                <w:b/>
                <w:bCs/>
                <w:sz w:val="20"/>
                <w:szCs w:val="20"/>
                <w:lang w:eastAsia="en-CA"/>
              </w:rPr>
              <w:t xml:space="preserve">et </w:t>
            </w:r>
            <w:r w:rsidR="001064C0">
              <w:rPr>
                <w:rFonts w:eastAsia="Times New Roman" w:cstheme="minorHAnsi"/>
                <w:b/>
                <w:bCs/>
                <w:sz w:val="20"/>
                <w:szCs w:val="20"/>
                <w:lang w:eastAsia="en-CA"/>
              </w:rPr>
              <w:t>p</w:t>
            </w:r>
            <w:r w:rsidRPr="00525943">
              <w:rPr>
                <w:rFonts w:eastAsia="Times New Roman" w:cstheme="minorHAnsi"/>
                <w:b/>
                <w:bCs/>
                <w:sz w:val="20"/>
                <w:szCs w:val="20"/>
                <w:lang w:eastAsia="en-CA"/>
              </w:rPr>
              <w:t>rice I</w:t>
            </w:r>
            <w:r w:rsidR="00D62A68" w:rsidRPr="00525943">
              <w:rPr>
                <w:rFonts w:eastAsia="Times New Roman" w:cstheme="minorHAnsi"/>
                <w:b/>
                <w:bCs/>
                <w:sz w:val="20"/>
                <w:szCs w:val="20"/>
                <w:lang w:eastAsia="en-CA"/>
              </w:rPr>
              <w:fldChar w:fldCharType="begin"/>
            </w:r>
            <w:r w:rsidR="00D62A68" w:rsidRPr="00525943">
              <w:rPr>
                <w:rFonts w:eastAsia="Times New Roman" w:cstheme="minorHAnsi"/>
                <w:b/>
                <w:bCs/>
                <w:sz w:val="20"/>
                <w:szCs w:val="20"/>
                <w:lang w:eastAsia="en-CA"/>
              </w:rPr>
              <w:instrText xml:space="preserve"> NOTEREF _Ref234931629 \f \h </w:instrText>
            </w:r>
            <w:r w:rsidR="00BE2094" w:rsidRPr="00525943">
              <w:rPr>
                <w:rFonts w:eastAsia="Times New Roman" w:cstheme="minorHAnsi"/>
                <w:b/>
                <w:bCs/>
                <w:sz w:val="20"/>
                <w:szCs w:val="20"/>
                <w:lang w:eastAsia="en-CA"/>
              </w:rPr>
              <w:instrText xml:space="preserve"> \* MERGEFORMAT </w:instrText>
            </w:r>
            <w:r w:rsidR="00D62A68" w:rsidRPr="00525943">
              <w:rPr>
                <w:rFonts w:eastAsia="Times New Roman" w:cstheme="minorHAnsi"/>
                <w:b/>
                <w:bCs/>
                <w:sz w:val="20"/>
                <w:szCs w:val="20"/>
                <w:lang w:eastAsia="en-CA"/>
              </w:rPr>
            </w:r>
            <w:r w:rsidR="00D62A68" w:rsidRPr="00525943">
              <w:rPr>
                <w:rFonts w:eastAsia="Times New Roman" w:cstheme="minorHAnsi"/>
                <w:b/>
                <w:bCs/>
                <w:sz w:val="20"/>
                <w:szCs w:val="20"/>
                <w:lang w:eastAsia="en-CA"/>
              </w:rPr>
              <w:fldChar w:fldCharType="separate"/>
            </w:r>
            <w:r w:rsidR="00D62A68" w:rsidRPr="00525943">
              <w:rPr>
                <w:rStyle w:val="FootnoteReference"/>
                <w:rFonts w:cstheme="minorHAnsi"/>
                <w:b/>
                <w:bCs/>
                <w:lang w:eastAsia="en-CA"/>
              </w:rPr>
              <w:t>9</w:t>
            </w:r>
            <w:r w:rsidR="00D62A68" w:rsidRPr="00525943">
              <w:rPr>
                <w:rFonts w:eastAsia="Times New Roman" w:cstheme="minorHAnsi"/>
                <w:b/>
                <w:bCs/>
                <w:sz w:val="20"/>
                <w:szCs w:val="20"/>
                <w:lang w:eastAsia="en-CA"/>
              </w:rPr>
              <w:fldChar w:fldCharType="end"/>
            </w:r>
            <w:r w:rsidRPr="00525943">
              <w:rPr>
                <w:rFonts w:eastAsia="Times New Roman" w:cstheme="minorHAnsi"/>
                <w:b/>
                <w:bCs/>
                <w:sz w:val="20"/>
                <w:szCs w:val="20"/>
                <w:lang w:eastAsia="en-CA"/>
              </w:rPr>
              <w:t>)</w:t>
            </w:r>
          </w:p>
        </w:tc>
        <w:tc>
          <w:tcPr>
            <w:tcW w:w="4191" w:type="dxa"/>
            <w:gridSpan w:val="3"/>
            <w:tcBorders>
              <w:top w:val="single" w:sz="4" w:space="0" w:color="auto"/>
              <w:left w:val="nil"/>
              <w:bottom w:val="single" w:sz="4" w:space="0" w:color="auto"/>
              <w:right w:val="single" w:sz="4" w:space="0" w:color="auto"/>
            </w:tcBorders>
            <w:noWrap/>
            <w:vAlign w:val="center"/>
            <w:hideMark/>
          </w:tcPr>
          <w:p w14:paraId="42CF50FA" w14:textId="263FBD3D" w:rsidR="001B0AA1" w:rsidRPr="00525943" w:rsidRDefault="001B0AA1" w:rsidP="00BD0773">
            <w:pPr>
              <w:spacing w:after="0" w:line="240" w:lineRule="auto"/>
              <w:jc w:val="center"/>
              <w:rPr>
                <w:rFonts w:eastAsia="Times New Roman" w:cstheme="minorHAnsi"/>
                <w:b/>
                <w:bCs/>
                <w:sz w:val="20"/>
                <w:szCs w:val="20"/>
                <w:lang w:eastAsia="en-CA"/>
              </w:rPr>
            </w:pPr>
            <w:r w:rsidRPr="00525943">
              <w:rPr>
                <w:rFonts w:eastAsia="Times New Roman" w:cstheme="minorHAnsi"/>
                <w:b/>
                <w:bCs/>
                <w:sz w:val="20"/>
                <w:szCs w:val="20"/>
                <w:lang w:eastAsia="en-CA"/>
              </w:rPr>
              <w:t xml:space="preserve">Current </w:t>
            </w:r>
            <w:r w:rsidR="001064C0">
              <w:rPr>
                <w:rFonts w:eastAsia="Times New Roman" w:cstheme="minorHAnsi"/>
                <w:b/>
                <w:bCs/>
                <w:sz w:val="20"/>
                <w:szCs w:val="20"/>
                <w:lang w:eastAsia="en-CA"/>
              </w:rPr>
              <w:t>m</w:t>
            </w:r>
            <w:r w:rsidRPr="00525943">
              <w:rPr>
                <w:rFonts w:eastAsia="Times New Roman" w:cstheme="minorHAnsi"/>
                <w:b/>
                <w:bCs/>
                <w:sz w:val="20"/>
                <w:szCs w:val="20"/>
                <w:lang w:eastAsia="en-CA"/>
              </w:rPr>
              <w:t xml:space="preserve">ethod: Sectored </w:t>
            </w:r>
            <w:r w:rsidR="001064C0">
              <w:rPr>
                <w:rFonts w:eastAsia="Times New Roman" w:cstheme="minorHAnsi"/>
                <w:b/>
                <w:bCs/>
                <w:sz w:val="20"/>
                <w:szCs w:val="20"/>
                <w:lang w:eastAsia="en-CA"/>
              </w:rPr>
              <w:t>v</w:t>
            </w:r>
            <w:r w:rsidRPr="00525943">
              <w:rPr>
                <w:rFonts w:eastAsia="Times New Roman" w:cstheme="minorHAnsi"/>
                <w:b/>
                <w:bCs/>
                <w:sz w:val="20"/>
                <w:szCs w:val="20"/>
                <w:lang w:eastAsia="en-CA"/>
              </w:rPr>
              <w:t>alues</w:t>
            </w:r>
          </w:p>
        </w:tc>
        <w:tc>
          <w:tcPr>
            <w:tcW w:w="4148" w:type="dxa"/>
            <w:gridSpan w:val="3"/>
            <w:tcBorders>
              <w:top w:val="single" w:sz="4" w:space="0" w:color="auto"/>
              <w:left w:val="nil"/>
              <w:bottom w:val="single" w:sz="4" w:space="0" w:color="auto"/>
              <w:right w:val="single" w:sz="4" w:space="0" w:color="auto"/>
            </w:tcBorders>
            <w:vAlign w:val="center"/>
            <w:hideMark/>
          </w:tcPr>
          <w:p w14:paraId="26625EB7" w14:textId="4FE7D720" w:rsidR="001B0AA1" w:rsidRPr="00525943" w:rsidRDefault="008A4EFE" w:rsidP="00BD0773">
            <w:pPr>
              <w:spacing w:after="0" w:line="240" w:lineRule="auto"/>
              <w:jc w:val="center"/>
              <w:rPr>
                <w:rFonts w:eastAsia="Times New Roman" w:cstheme="minorHAnsi"/>
                <w:b/>
                <w:bCs/>
                <w:sz w:val="20"/>
                <w:szCs w:val="20"/>
                <w:lang w:eastAsia="en-CA"/>
              </w:rPr>
            </w:pPr>
            <w:r>
              <w:rPr>
                <w:rFonts w:eastAsia="Times New Roman" w:cstheme="minorHAnsi"/>
                <w:b/>
                <w:bCs/>
                <w:sz w:val="20"/>
                <w:szCs w:val="20"/>
                <w:lang w:eastAsia="en-CA"/>
              </w:rPr>
              <w:t>Alternate method: S</w:t>
            </w:r>
            <w:r w:rsidR="009434C9" w:rsidRPr="00525943">
              <w:rPr>
                <w:rFonts w:eastAsia="Times New Roman" w:cstheme="minorHAnsi"/>
                <w:b/>
                <w:bCs/>
                <w:sz w:val="20"/>
                <w:szCs w:val="20"/>
                <w:lang w:eastAsia="en-CA"/>
              </w:rPr>
              <w:t xml:space="preserve">plit ownership of </w:t>
            </w:r>
            <w:r w:rsidR="00525943">
              <w:rPr>
                <w:rFonts w:eastAsia="Times New Roman" w:cstheme="minorHAnsi"/>
                <w:b/>
                <w:bCs/>
                <w:sz w:val="20"/>
                <w:szCs w:val="20"/>
                <w:lang w:eastAsia="en-CA"/>
              </w:rPr>
              <w:t>value</w:t>
            </w:r>
          </w:p>
        </w:tc>
      </w:tr>
      <w:tr w:rsidR="00CA68CA" w:rsidRPr="00525943" w14:paraId="34DE50FF"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525F7568" w14:textId="77777777" w:rsidR="001B0AA1" w:rsidRPr="00525943" w:rsidRDefault="001B0AA1" w:rsidP="00BD0773">
            <w:pPr>
              <w:spacing w:after="0" w:line="240" w:lineRule="auto"/>
              <w:rPr>
                <w:rFonts w:eastAsia="Times New Roman" w:cstheme="minorHAnsi"/>
                <w:i/>
                <w:iCs/>
                <w:sz w:val="20"/>
                <w:szCs w:val="20"/>
                <w:lang w:eastAsia="en-CA"/>
              </w:rPr>
            </w:pPr>
            <w:r w:rsidRPr="00525943">
              <w:rPr>
                <w:rFonts w:eastAsia="Times New Roman" w:cstheme="minorHAnsi"/>
                <w:i/>
                <w:iCs/>
                <w:sz w:val="20"/>
                <w:szCs w:val="20"/>
                <w:lang w:eastAsia="en-CA"/>
              </w:rPr>
              <w:t> </w:t>
            </w:r>
          </w:p>
        </w:tc>
        <w:tc>
          <w:tcPr>
            <w:tcW w:w="1147" w:type="dxa"/>
            <w:tcBorders>
              <w:top w:val="nil"/>
              <w:left w:val="nil"/>
              <w:bottom w:val="single" w:sz="4" w:space="0" w:color="auto"/>
              <w:right w:val="single" w:sz="4" w:space="0" w:color="auto"/>
            </w:tcBorders>
            <w:noWrap/>
            <w:vAlign w:val="bottom"/>
            <w:hideMark/>
          </w:tcPr>
          <w:p w14:paraId="332801A1" w14:textId="77777777" w:rsidR="001B0AA1" w:rsidRPr="00525943" w:rsidRDefault="001B0AA1" w:rsidP="00BD077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 </w:t>
            </w:r>
          </w:p>
        </w:tc>
        <w:tc>
          <w:tcPr>
            <w:tcW w:w="987" w:type="dxa"/>
            <w:tcBorders>
              <w:top w:val="nil"/>
              <w:left w:val="nil"/>
              <w:bottom w:val="single" w:sz="4" w:space="0" w:color="auto"/>
              <w:right w:val="single" w:sz="4" w:space="0" w:color="auto"/>
            </w:tcBorders>
            <w:noWrap/>
            <w:vAlign w:val="bottom"/>
            <w:hideMark/>
          </w:tcPr>
          <w:p w14:paraId="20D35814" w14:textId="11CB31D3" w:rsidR="001B0AA1" w:rsidRPr="00891CBB" w:rsidRDefault="001B0AA1" w:rsidP="00525943">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F</w:t>
            </w:r>
            <w:r w:rsidR="00CA68CA" w:rsidRPr="00891CBB">
              <w:rPr>
                <w:rFonts w:eastAsia="Times New Roman" w:cstheme="minorHAnsi"/>
                <w:b/>
                <w:bCs/>
                <w:sz w:val="20"/>
                <w:szCs w:val="20"/>
                <w:lang w:eastAsia="en-CA"/>
              </w:rPr>
              <w:t>ederal</w:t>
            </w:r>
          </w:p>
        </w:tc>
        <w:tc>
          <w:tcPr>
            <w:tcW w:w="1985" w:type="dxa"/>
            <w:tcBorders>
              <w:top w:val="nil"/>
              <w:left w:val="nil"/>
              <w:bottom w:val="single" w:sz="4" w:space="0" w:color="auto"/>
              <w:right w:val="single" w:sz="4" w:space="0" w:color="auto"/>
            </w:tcBorders>
            <w:noWrap/>
            <w:vAlign w:val="bottom"/>
            <w:hideMark/>
          </w:tcPr>
          <w:p w14:paraId="66E6C1E4" w14:textId="1669CF45" w:rsidR="001B0AA1" w:rsidRPr="00891CBB" w:rsidRDefault="001A13B9" w:rsidP="00525943">
            <w:pPr>
              <w:spacing w:after="0" w:line="240" w:lineRule="auto"/>
              <w:jc w:val="right"/>
              <w:rPr>
                <w:rFonts w:eastAsia="Times New Roman" w:cstheme="minorHAnsi"/>
                <w:b/>
                <w:bCs/>
                <w:sz w:val="20"/>
                <w:szCs w:val="20"/>
                <w:lang w:eastAsia="en-CA"/>
              </w:rPr>
            </w:pPr>
            <w:r w:rsidRPr="006357BC">
              <w:rPr>
                <w:rFonts w:eastAsia="Times New Roman" w:cstheme="minorHAnsi"/>
                <w:b/>
                <w:bCs/>
                <w:color w:val="000000"/>
                <w:sz w:val="20"/>
                <w:szCs w:val="20"/>
                <w:lang w:eastAsia="en-CA"/>
              </w:rPr>
              <w:t>Provincial/Territorial</w:t>
            </w:r>
          </w:p>
        </w:tc>
        <w:tc>
          <w:tcPr>
            <w:tcW w:w="1219" w:type="dxa"/>
            <w:tcBorders>
              <w:top w:val="nil"/>
              <w:left w:val="nil"/>
              <w:bottom w:val="single" w:sz="4" w:space="0" w:color="auto"/>
              <w:right w:val="single" w:sz="4" w:space="0" w:color="auto"/>
            </w:tcBorders>
            <w:noWrap/>
            <w:vAlign w:val="bottom"/>
            <w:hideMark/>
          </w:tcPr>
          <w:p w14:paraId="3DA944BC" w14:textId="18C9536C" w:rsidR="001B0AA1" w:rsidRPr="00891CBB" w:rsidRDefault="001B0AA1" w:rsidP="00525943">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Corp</w:t>
            </w:r>
            <w:r w:rsidR="00CA68CA" w:rsidRPr="00891CBB">
              <w:rPr>
                <w:rFonts w:eastAsia="Times New Roman" w:cstheme="minorHAnsi"/>
                <w:b/>
                <w:bCs/>
                <w:sz w:val="20"/>
                <w:szCs w:val="20"/>
                <w:lang w:eastAsia="en-CA"/>
              </w:rPr>
              <w:t>orat</w:t>
            </w:r>
            <w:r w:rsidR="00D94E46">
              <w:rPr>
                <w:rFonts w:eastAsia="Times New Roman" w:cstheme="minorHAnsi"/>
                <w:b/>
                <w:bCs/>
                <w:sz w:val="20"/>
                <w:szCs w:val="20"/>
                <w:lang w:eastAsia="en-CA"/>
              </w:rPr>
              <w:t>ion</w:t>
            </w:r>
          </w:p>
        </w:tc>
        <w:tc>
          <w:tcPr>
            <w:tcW w:w="850" w:type="dxa"/>
            <w:tcBorders>
              <w:top w:val="nil"/>
              <w:left w:val="nil"/>
              <w:bottom w:val="single" w:sz="4" w:space="0" w:color="auto"/>
              <w:right w:val="single" w:sz="4" w:space="0" w:color="auto"/>
            </w:tcBorders>
            <w:noWrap/>
            <w:vAlign w:val="bottom"/>
            <w:hideMark/>
          </w:tcPr>
          <w:p w14:paraId="21BEB245" w14:textId="08C417CB" w:rsidR="001B0AA1" w:rsidRPr="00891CBB" w:rsidRDefault="001B0AA1" w:rsidP="00525943">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F</w:t>
            </w:r>
            <w:r w:rsidR="00CA68CA" w:rsidRPr="00891CBB">
              <w:rPr>
                <w:rFonts w:eastAsia="Times New Roman" w:cstheme="minorHAnsi"/>
                <w:b/>
                <w:bCs/>
                <w:sz w:val="20"/>
                <w:szCs w:val="20"/>
                <w:lang w:eastAsia="en-CA"/>
              </w:rPr>
              <w:t>ederal</w:t>
            </w:r>
          </w:p>
        </w:tc>
        <w:tc>
          <w:tcPr>
            <w:tcW w:w="1955" w:type="dxa"/>
            <w:tcBorders>
              <w:top w:val="nil"/>
              <w:left w:val="nil"/>
              <w:bottom w:val="single" w:sz="4" w:space="0" w:color="auto"/>
              <w:right w:val="single" w:sz="4" w:space="0" w:color="auto"/>
            </w:tcBorders>
            <w:noWrap/>
            <w:vAlign w:val="bottom"/>
            <w:hideMark/>
          </w:tcPr>
          <w:p w14:paraId="2BC9CFF8" w14:textId="50EA701C" w:rsidR="001B0AA1" w:rsidRPr="00891CBB" w:rsidRDefault="001A13B9" w:rsidP="00525943">
            <w:pPr>
              <w:spacing w:after="0" w:line="240" w:lineRule="auto"/>
              <w:jc w:val="right"/>
              <w:rPr>
                <w:rFonts w:eastAsia="Times New Roman" w:cstheme="minorHAnsi"/>
                <w:b/>
                <w:bCs/>
                <w:sz w:val="20"/>
                <w:szCs w:val="20"/>
                <w:lang w:eastAsia="en-CA"/>
              </w:rPr>
            </w:pPr>
            <w:r w:rsidRPr="006357BC">
              <w:rPr>
                <w:rFonts w:eastAsia="Times New Roman" w:cstheme="minorHAnsi"/>
                <w:b/>
                <w:bCs/>
                <w:color w:val="000000"/>
                <w:sz w:val="20"/>
                <w:szCs w:val="20"/>
                <w:lang w:eastAsia="en-CA"/>
              </w:rPr>
              <w:t>Provincial/Territorial</w:t>
            </w:r>
          </w:p>
        </w:tc>
        <w:tc>
          <w:tcPr>
            <w:tcW w:w="1343" w:type="dxa"/>
            <w:tcBorders>
              <w:top w:val="nil"/>
              <w:left w:val="nil"/>
              <w:bottom w:val="single" w:sz="4" w:space="0" w:color="auto"/>
              <w:right w:val="single" w:sz="4" w:space="0" w:color="auto"/>
            </w:tcBorders>
            <w:noWrap/>
            <w:vAlign w:val="bottom"/>
            <w:hideMark/>
          </w:tcPr>
          <w:p w14:paraId="783C1AD5" w14:textId="27EFC1F8" w:rsidR="001B0AA1" w:rsidRPr="00891CBB" w:rsidRDefault="001B0AA1" w:rsidP="00525943">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Corp</w:t>
            </w:r>
            <w:r w:rsidR="00CA68CA" w:rsidRPr="00891CBB">
              <w:rPr>
                <w:rFonts w:eastAsia="Times New Roman" w:cstheme="minorHAnsi"/>
                <w:b/>
                <w:bCs/>
                <w:sz w:val="20"/>
                <w:szCs w:val="20"/>
                <w:lang w:eastAsia="en-CA"/>
              </w:rPr>
              <w:t>orat</w:t>
            </w:r>
            <w:r w:rsidR="00D94E46">
              <w:rPr>
                <w:rFonts w:eastAsia="Times New Roman" w:cstheme="minorHAnsi"/>
                <w:b/>
                <w:bCs/>
                <w:sz w:val="20"/>
                <w:szCs w:val="20"/>
                <w:lang w:eastAsia="en-CA"/>
              </w:rPr>
              <w:t>ion</w:t>
            </w:r>
          </w:p>
        </w:tc>
      </w:tr>
      <w:tr w:rsidR="00525943" w:rsidRPr="00525943" w14:paraId="7888345B"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4FD6049A" w14:textId="77777777" w:rsidR="00525943" w:rsidRPr="00525943" w:rsidRDefault="00525943" w:rsidP="00BD0773">
            <w:pPr>
              <w:spacing w:after="0" w:line="240" w:lineRule="auto"/>
              <w:rPr>
                <w:rFonts w:eastAsia="Times New Roman" w:cstheme="minorHAnsi"/>
                <w:i/>
                <w:iCs/>
                <w:sz w:val="20"/>
                <w:szCs w:val="20"/>
                <w:lang w:eastAsia="en-CA"/>
              </w:rPr>
            </w:pPr>
            <w:r w:rsidRPr="00525943">
              <w:rPr>
                <w:rFonts w:eastAsia="Times New Roman" w:cstheme="minorHAnsi"/>
                <w:i/>
                <w:iCs/>
                <w:sz w:val="20"/>
                <w:szCs w:val="20"/>
                <w:lang w:eastAsia="en-CA"/>
              </w:rPr>
              <w:t> </w:t>
            </w:r>
          </w:p>
        </w:tc>
        <w:tc>
          <w:tcPr>
            <w:tcW w:w="9486" w:type="dxa"/>
            <w:gridSpan w:val="7"/>
            <w:tcBorders>
              <w:top w:val="nil"/>
              <w:left w:val="nil"/>
              <w:bottom w:val="single" w:sz="4" w:space="0" w:color="auto"/>
              <w:right w:val="single" w:sz="4" w:space="0" w:color="auto"/>
            </w:tcBorders>
            <w:noWrap/>
            <w:vAlign w:val="bottom"/>
            <w:hideMark/>
          </w:tcPr>
          <w:p w14:paraId="2EBF3605" w14:textId="72256AFF" w:rsidR="00525943" w:rsidRPr="00525943" w:rsidRDefault="00525943" w:rsidP="000B2A8B">
            <w:pPr>
              <w:spacing w:after="0" w:line="240" w:lineRule="auto"/>
              <w:jc w:val="center"/>
              <w:rPr>
                <w:rFonts w:eastAsia="Times New Roman" w:cstheme="minorHAnsi"/>
                <w:sz w:val="20"/>
                <w:szCs w:val="20"/>
                <w:lang w:eastAsia="en-CA"/>
              </w:rPr>
            </w:pPr>
            <w:r>
              <w:rPr>
                <w:rFonts w:eastAsia="Times New Roman" w:cstheme="minorHAnsi"/>
                <w:sz w:val="20"/>
                <w:szCs w:val="20"/>
                <w:lang w:eastAsia="en-CA"/>
              </w:rPr>
              <w:t>millions of Canadian dollars</w:t>
            </w:r>
          </w:p>
        </w:tc>
      </w:tr>
      <w:tr w:rsidR="00DC7319" w:rsidRPr="00525943" w14:paraId="603D76A2"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1C4D7F65" w14:textId="77777777" w:rsidR="00DC7319" w:rsidRPr="00525943" w:rsidRDefault="00DC7319" w:rsidP="0052594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2010</w:t>
            </w:r>
          </w:p>
        </w:tc>
        <w:tc>
          <w:tcPr>
            <w:tcW w:w="1147" w:type="dxa"/>
            <w:tcBorders>
              <w:top w:val="nil"/>
              <w:left w:val="nil"/>
              <w:bottom w:val="single" w:sz="4" w:space="0" w:color="auto"/>
              <w:right w:val="single" w:sz="4" w:space="0" w:color="auto"/>
            </w:tcBorders>
            <w:noWrap/>
            <w:vAlign w:val="bottom"/>
            <w:hideMark/>
          </w:tcPr>
          <w:p w14:paraId="641D14BD" w14:textId="669D36C1"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321,662</w:t>
            </w:r>
          </w:p>
        </w:tc>
        <w:tc>
          <w:tcPr>
            <w:tcW w:w="987" w:type="dxa"/>
            <w:tcBorders>
              <w:top w:val="nil"/>
              <w:left w:val="nil"/>
              <w:bottom w:val="single" w:sz="4" w:space="0" w:color="auto"/>
              <w:right w:val="single" w:sz="4" w:space="0" w:color="auto"/>
            </w:tcBorders>
            <w:noWrap/>
            <w:vAlign w:val="bottom"/>
            <w:hideMark/>
          </w:tcPr>
          <w:p w14:paraId="4AB188B3" w14:textId="1A002CC5"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7,502</w:t>
            </w:r>
          </w:p>
        </w:tc>
        <w:tc>
          <w:tcPr>
            <w:tcW w:w="1985" w:type="dxa"/>
            <w:tcBorders>
              <w:top w:val="nil"/>
              <w:left w:val="nil"/>
              <w:bottom w:val="single" w:sz="4" w:space="0" w:color="auto"/>
              <w:right w:val="single" w:sz="4" w:space="0" w:color="auto"/>
            </w:tcBorders>
            <w:noWrap/>
            <w:vAlign w:val="bottom"/>
            <w:hideMark/>
          </w:tcPr>
          <w:p w14:paraId="17D62667" w14:textId="1FBE3309"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77,441</w:t>
            </w:r>
          </w:p>
        </w:tc>
        <w:tc>
          <w:tcPr>
            <w:tcW w:w="1219" w:type="dxa"/>
            <w:tcBorders>
              <w:top w:val="nil"/>
              <w:left w:val="nil"/>
              <w:bottom w:val="single" w:sz="4" w:space="0" w:color="auto"/>
              <w:right w:val="single" w:sz="4" w:space="0" w:color="auto"/>
            </w:tcBorders>
            <w:noWrap/>
            <w:vAlign w:val="bottom"/>
            <w:hideMark/>
          </w:tcPr>
          <w:p w14:paraId="0D8BFC10" w14:textId="6E3907D1"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236,719</w:t>
            </w:r>
          </w:p>
        </w:tc>
        <w:tc>
          <w:tcPr>
            <w:tcW w:w="850" w:type="dxa"/>
            <w:tcBorders>
              <w:top w:val="nil"/>
              <w:left w:val="nil"/>
              <w:bottom w:val="single" w:sz="4" w:space="0" w:color="auto"/>
              <w:right w:val="single" w:sz="4" w:space="0" w:color="auto"/>
            </w:tcBorders>
            <w:noWrap/>
            <w:vAlign w:val="bottom"/>
            <w:hideMark/>
          </w:tcPr>
          <w:p w14:paraId="4E519F98" w14:textId="66EB4FB6"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2C646363" w14:textId="20365303"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77,056</w:t>
            </w:r>
          </w:p>
        </w:tc>
        <w:tc>
          <w:tcPr>
            <w:tcW w:w="1343" w:type="dxa"/>
            <w:tcBorders>
              <w:top w:val="nil"/>
              <w:left w:val="nil"/>
              <w:bottom w:val="single" w:sz="4" w:space="0" w:color="auto"/>
              <w:right w:val="single" w:sz="4" w:space="0" w:color="auto"/>
            </w:tcBorders>
            <w:noWrap/>
            <w:vAlign w:val="bottom"/>
            <w:hideMark/>
          </w:tcPr>
          <w:p w14:paraId="2245864A" w14:textId="35F9FFA9"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244,606</w:t>
            </w:r>
          </w:p>
        </w:tc>
      </w:tr>
      <w:tr w:rsidR="00DC7319" w:rsidRPr="00525943" w14:paraId="2ED474F1"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30FD1612" w14:textId="77777777" w:rsidR="00DC7319" w:rsidRPr="00525943" w:rsidRDefault="00DC7319" w:rsidP="0052594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2011</w:t>
            </w:r>
          </w:p>
        </w:tc>
        <w:tc>
          <w:tcPr>
            <w:tcW w:w="1147" w:type="dxa"/>
            <w:tcBorders>
              <w:top w:val="nil"/>
              <w:left w:val="nil"/>
              <w:bottom w:val="single" w:sz="4" w:space="0" w:color="auto"/>
              <w:right w:val="single" w:sz="4" w:space="0" w:color="auto"/>
            </w:tcBorders>
            <w:noWrap/>
            <w:vAlign w:val="bottom"/>
            <w:hideMark/>
          </w:tcPr>
          <w:p w14:paraId="7844759F" w14:textId="52D1B3E9"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410,209</w:t>
            </w:r>
          </w:p>
        </w:tc>
        <w:tc>
          <w:tcPr>
            <w:tcW w:w="987" w:type="dxa"/>
            <w:tcBorders>
              <w:top w:val="nil"/>
              <w:left w:val="nil"/>
              <w:bottom w:val="single" w:sz="4" w:space="0" w:color="auto"/>
              <w:right w:val="single" w:sz="4" w:space="0" w:color="auto"/>
            </w:tcBorders>
            <w:noWrap/>
            <w:vAlign w:val="bottom"/>
            <w:hideMark/>
          </w:tcPr>
          <w:p w14:paraId="756140BB" w14:textId="7818FD4F"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7,075</w:t>
            </w:r>
          </w:p>
        </w:tc>
        <w:tc>
          <w:tcPr>
            <w:tcW w:w="1985" w:type="dxa"/>
            <w:tcBorders>
              <w:top w:val="nil"/>
              <w:left w:val="nil"/>
              <w:bottom w:val="single" w:sz="4" w:space="0" w:color="auto"/>
              <w:right w:val="single" w:sz="4" w:space="0" w:color="auto"/>
            </w:tcBorders>
            <w:noWrap/>
            <w:vAlign w:val="bottom"/>
            <w:hideMark/>
          </w:tcPr>
          <w:p w14:paraId="2EFD3C66" w14:textId="2469725B"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85,539</w:t>
            </w:r>
          </w:p>
        </w:tc>
        <w:tc>
          <w:tcPr>
            <w:tcW w:w="1219" w:type="dxa"/>
            <w:tcBorders>
              <w:top w:val="nil"/>
              <w:left w:val="nil"/>
              <w:bottom w:val="single" w:sz="4" w:space="0" w:color="auto"/>
              <w:right w:val="single" w:sz="4" w:space="0" w:color="auto"/>
            </w:tcBorders>
            <w:noWrap/>
            <w:vAlign w:val="bottom"/>
            <w:hideMark/>
          </w:tcPr>
          <w:p w14:paraId="4402CF46" w14:textId="5A99175F"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317,594</w:t>
            </w:r>
          </w:p>
        </w:tc>
        <w:tc>
          <w:tcPr>
            <w:tcW w:w="850" w:type="dxa"/>
            <w:tcBorders>
              <w:top w:val="nil"/>
              <w:left w:val="nil"/>
              <w:bottom w:val="single" w:sz="4" w:space="0" w:color="auto"/>
              <w:right w:val="single" w:sz="4" w:space="0" w:color="auto"/>
            </w:tcBorders>
            <w:noWrap/>
            <w:vAlign w:val="bottom"/>
            <w:hideMark/>
          </w:tcPr>
          <w:p w14:paraId="3AD68F70" w14:textId="6C5DE922"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5449A1D0" w14:textId="2F36E73B"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88,625</w:t>
            </w:r>
          </w:p>
        </w:tc>
        <w:tc>
          <w:tcPr>
            <w:tcW w:w="1343" w:type="dxa"/>
            <w:tcBorders>
              <w:top w:val="nil"/>
              <w:left w:val="nil"/>
              <w:bottom w:val="single" w:sz="4" w:space="0" w:color="auto"/>
              <w:right w:val="single" w:sz="4" w:space="0" w:color="auto"/>
            </w:tcBorders>
            <w:noWrap/>
            <w:vAlign w:val="bottom"/>
            <w:hideMark/>
          </w:tcPr>
          <w:p w14:paraId="27D19882" w14:textId="1E43D6D6"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321,584</w:t>
            </w:r>
          </w:p>
        </w:tc>
      </w:tr>
      <w:tr w:rsidR="00DC7319" w:rsidRPr="00525943" w14:paraId="38F666A8"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2797007E" w14:textId="77777777" w:rsidR="00DC7319" w:rsidRPr="00525943" w:rsidRDefault="00DC7319" w:rsidP="0052594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2012</w:t>
            </w:r>
          </w:p>
        </w:tc>
        <w:tc>
          <w:tcPr>
            <w:tcW w:w="1147" w:type="dxa"/>
            <w:tcBorders>
              <w:top w:val="nil"/>
              <w:left w:val="nil"/>
              <w:bottom w:val="single" w:sz="4" w:space="0" w:color="auto"/>
              <w:right w:val="single" w:sz="4" w:space="0" w:color="auto"/>
            </w:tcBorders>
            <w:noWrap/>
            <w:vAlign w:val="bottom"/>
            <w:hideMark/>
          </w:tcPr>
          <w:p w14:paraId="66FAAB6D" w14:textId="2B95943A"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344,421</w:t>
            </w:r>
          </w:p>
        </w:tc>
        <w:tc>
          <w:tcPr>
            <w:tcW w:w="987" w:type="dxa"/>
            <w:tcBorders>
              <w:top w:val="nil"/>
              <w:left w:val="nil"/>
              <w:bottom w:val="single" w:sz="4" w:space="0" w:color="auto"/>
              <w:right w:val="single" w:sz="4" w:space="0" w:color="auto"/>
            </w:tcBorders>
            <w:noWrap/>
            <w:vAlign w:val="bottom"/>
            <w:hideMark/>
          </w:tcPr>
          <w:p w14:paraId="398F63A4" w14:textId="3750D106"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8,630</w:t>
            </w:r>
          </w:p>
        </w:tc>
        <w:tc>
          <w:tcPr>
            <w:tcW w:w="1985" w:type="dxa"/>
            <w:tcBorders>
              <w:top w:val="nil"/>
              <w:left w:val="nil"/>
              <w:bottom w:val="single" w:sz="4" w:space="0" w:color="auto"/>
              <w:right w:val="single" w:sz="4" w:space="0" w:color="auto"/>
            </w:tcBorders>
            <w:noWrap/>
            <w:vAlign w:val="bottom"/>
            <w:hideMark/>
          </w:tcPr>
          <w:p w14:paraId="4CEE6BC2" w14:textId="00CEF02F"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68,668</w:t>
            </w:r>
          </w:p>
        </w:tc>
        <w:tc>
          <w:tcPr>
            <w:tcW w:w="1219" w:type="dxa"/>
            <w:tcBorders>
              <w:top w:val="nil"/>
              <w:left w:val="nil"/>
              <w:bottom w:val="single" w:sz="4" w:space="0" w:color="auto"/>
              <w:right w:val="single" w:sz="4" w:space="0" w:color="auto"/>
            </w:tcBorders>
            <w:noWrap/>
            <w:vAlign w:val="bottom"/>
            <w:hideMark/>
          </w:tcPr>
          <w:p w14:paraId="71A8E1DE" w14:textId="5788BBC7"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267,123</w:t>
            </w:r>
          </w:p>
        </w:tc>
        <w:tc>
          <w:tcPr>
            <w:tcW w:w="850" w:type="dxa"/>
            <w:tcBorders>
              <w:top w:val="nil"/>
              <w:left w:val="nil"/>
              <w:bottom w:val="single" w:sz="4" w:space="0" w:color="auto"/>
              <w:right w:val="single" w:sz="4" w:space="0" w:color="auto"/>
            </w:tcBorders>
            <w:noWrap/>
            <w:vAlign w:val="bottom"/>
            <w:hideMark/>
          </w:tcPr>
          <w:p w14:paraId="76EDED2B" w14:textId="69C5AC65"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20B07DA3" w14:textId="2C90E517"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70,233</w:t>
            </w:r>
          </w:p>
        </w:tc>
        <w:tc>
          <w:tcPr>
            <w:tcW w:w="1343" w:type="dxa"/>
            <w:tcBorders>
              <w:top w:val="nil"/>
              <w:left w:val="nil"/>
              <w:bottom w:val="single" w:sz="4" w:space="0" w:color="auto"/>
              <w:right w:val="single" w:sz="4" w:space="0" w:color="auto"/>
            </w:tcBorders>
            <w:noWrap/>
            <w:vAlign w:val="bottom"/>
            <w:hideMark/>
          </w:tcPr>
          <w:p w14:paraId="2DD0A929" w14:textId="2D1FA718"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274,188</w:t>
            </w:r>
          </w:p>
        </w:tc>
      </w:tr>
      <w:tr w:rsidR="00DC7319" w:rsidRPr="00525943" w14:paraId="3F767CC1"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5FCD0FEC" w14:textId="77777777" w:rsidR="00DC7319" w:rsidRPr="00525943" w:rsidRDefault="00DC7319" w:rsidP="0052594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2013</w:t>
            </w:r>
          </w:p>
        </w:tc>
        <w:tc>
          <w:tcPr>
            <w:tcW w:w="1147" w:type="dxa"/>
            <w:tcBorders>
              <w:top w:val="nil"/>
              <w:left w:val="nil"/>
              <w:bottom w:val="single" w:sz="4" w:space="0" w:color="auto"/>
              <w:right w:val="single" w:sz="4" w:space="0" w:color="auto"/>
            </w:tcBorders>
            <w:noWrap/>
            <w:vAlign w:val="bottom"/>
            <w:hideMark/>
          </w:tcPr>
          <w:p w14:paraId="58E8C938" w14:textId="325A1431"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357,944</w:t>
            </w:r>
          </w:p>
        </w:tc>
        <w:tc>
          <w:tcPr>
            <w:tcW w:w="987" w:type="dxa"/>
            <w:tcBorders>
              <w:top w:val="nil"/>
              <w:left w:val="nil"/>
              <w:bottom w:val="single" w:sz="4" w:space="0" w:color="auto"/>
              <w:right w:val="single" w:sz="4" w:space="0" w:color="auto"/>
            </w:tcBorders>
            <w:noWrap/>
            <w:vAlign w:val="bottom"/>
            <w:hideMark/>
          </w:tcPr>
          <w:p w14:paraId="757C462D" w14:textId="66B7A0D1"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6,311</w:t>
            </w:r>
          </w:p>
        </w:tc>
        <w:tc>
          <w:tcPr>
            <w:tcW w:w="1985" w:type="dxa"/>
            <w:tcBorders>
              <w:top w:val="nil"/>
              <w:left w:val="nil"/>
              <w:bottom w:val="single" w:sz="4" w:space="0" w:color="auto"/>
              <w:right w:val="single" w:sz="4" w:space="0" w:color="auto"/>
            </w:tcBorders>
            <w:noWrap/>
            <w:vAlign w:val="bottom"/>
            <w:hideMark/>
          </w:tcPr>
          <w:p w14:paraId="3B9D2E93" w14:textId="22A1D052"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91,385</w:t>
            </w:r>
          </w:p>
        </w:tc>
        <w:tc>
          <w:tcPr>
            <w:tcW w:w="1219" w:type="dxa"/>
            <w:tcBorders>
              <w:top w:val="nil"/>
              <w:left w:val="nil"/>
              <w:bottom w:val="single" w:sz="4" w:space="0" w:color="auto"/>
              <w:right w:val="single" w:sz="4" w:space="0" w:color="auto"/>
            </w:tcBorders>
            <w:noWrap/>
            <w:vAlign w:val="bottom"/>
            <w:hideMark/>
          </w:tcPr>
          <w:p w14:paraId="18108B8E" w14:textId="04CD47E8"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260,249</w:t>
            </w:r>
          </w:p>
        </w:tc>
        <w:tc>
          <w:tcPr>
            <w:tcW w:w="850" w:type="dxa"/>
            <w:tcBorders>
              <w:top w:val="nil"/>
              <w:left w:val="nil"/>
              <w:bottom w:val="single" w:sz="4" w:space="0" w:color="auto"/>
              <w:right w:val="single" w:sz="4" w:space="0" w:color="auto"/>
            </w:tcBorders>
            <w:noWrap/>
            <w:vAlign w:val="bottom"/>
            <w:hideMark/>
          </w:tcPr>
          <w:p w14:paraId="4DC68B5F" w14:textId="5F738006"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54DD8B9C" w14:textId="0ABDD414"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80,537</w:t>
            </w:r>
          </w:p>
        </w:tc>
        <w:tc>
          <w:tcPr>
            <w:tcW w:w="1343" w:type="dxa"/>
            <w:tcBorders>
              <w:top w:val="nil"/>
              <w:left w:val="nil"/>
              <w:bottom w:val="single" w:sz="4" w:space="0" w:color="auto"/>
              <w:right w:val="single" w:sz="4" w:space="0" w:color="auto"/>
            </w:tcBorders>
            <w:noWrap/>
            <w:vAlign w:val="bottom"/>
            <w:hideMark/>
          </w:tcPr>
          <w:p w14:paraId="5241C02E" w14:textId="0417D15D"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277,407</w:t>
            </w:r>
          </w:p>
        </w:tc>
      </w:tr>
      <w:tr w:rsidR="00DC7319" w:rsidRPr="00525943" w14:paraId="6851AC30"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3F9CBC00" w14:textId="77777777" w:rsidR="00DC7319" w:rsidRPr="00525943" w:rsidRDefault="00DC7319" w:rsidP="0052594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2014</w:t>
            </w:r>
          </w:p>
        </w:tc>
        <w:tc>
          <w:tcPr>
            <w:tcW w:w="1147" w:type="dxa"/>
            <w:tcBorders>
              <w:top w:val="nil"/>
              <w:left w:val="nil"/>
              <w:bottom w:val="single" w:sz="4" w:space="0" w:color="auto"/>
              <w:right w:val="single" w:sz="4" w:space="0" w:color="auto"/>
            </w:tcBorders>
            <w:noWrap/>
            <w:vAlign w:val="bottom"/>
            <w:hideMark/>
          </w:tcPr>
          <w:p w14:paraId="7AE51534" w14:textId="20C79762"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526,149</w:t>
            </w:r>
          </w:p>
        </w:tc>
        <w:tc>
          <w:tcPr>
            <w:tcW w:w="987" w:type="dxa"/>
            <w:tcBorders>
              <w:top w:val="nil"/>
              <w:left w:val="nil"/>
              <w:bottom w:val="single" w:sz="4" w:space="0" w:color="auto"/>
              <w:right w:val="single" w:sz="4" w:space="0" w:color="auto"/>
            </w:tcBorders>
            <w:noWrap/>
            <w:vAlign w:val="bottom"/>
            <w:hideMark/>
          </w:tcPr>
          <w:p w14:paraId="416B577D" w14:textId="45249418"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8,941</w:t>
            </w:r>
          </w:p>
        </w:tc>
        <w:tc>
          <w:tcPr>
            <w:tcW w:w="1985" w:type="dxa"/>
            <w:tcBorders>
              <w:top w:val="nil"/>
              <w:left w:val="nil"/>
              <w:bottom w:val="single" w:sz="4" w:space="0" w:color="auto"/>
              <w:right w:val="single" w:sz="4" w:space="0" w:color="auto"/>
            </w:tcBorders>
            <w:noWrap/>
            <w:vAlign w:val="bottom"/>
            <w:hideMark/>
          </w:tcPr>
          <w:p w14:paraId="4E0829F4" w14:textId="15DBF674"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133,702</w:t>
            </w:r>
          </w:p>
        </w:tc>
        <w:tc>
          <w:tcPr>
            <w:tcW w:w="1219" w:type="dxa"/>
            <w:tcBorders>
              <w:top w:val="nil"/>
              <w:left w:val="nil"/>
              <w:bottom w:val="single" w:sz="4" w:space="0" w:color="auto"/>
              <w:right w:val="single" w:sz="4" w:space="0" w:color="auto"/>
            </w:tcBorders>
            <w:noWrap/>
            <w:vAlign w:val="bottom"/>
            <w:hideMark/>
          </w:tcPr>
          <w:p w14:paraId="2A3E63C9" w14:textId="0808DD77"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383,505</w:t>
            </w:r>
          </w:p>
        </w:tc>
        <w:tc>
          <w:tcPr>
            <w:tcW w:w="850" w:type="dxa"/>
            <w:tcBorders>
              <w:top w:val="nil"/>
              <w:left w:val="nil"/>
              <w:bottom w:val="single" w:sz="4" w:space="0" w:color="auto"/>
              <w:right w:val="single" w:sz="4" w:space="0" w:color="auto"/>
            </w:tcBorders>
            <w:noWrap/>
            <w:vAlign w:val="bottom"/>
            <w:hideMark/>
          </w:tcPr>
          <w:p w14:paraId="3686F04F" w14:textId="6D033E25"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71BDDBD1" w14:textId="4BE96E8E"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102,564</w:t>
            </w:r>
          </w:p>
        </w:tc>
        <w:tc>
          <w:tcPr>
            <w:tcW w:w="1343" w:type="dxa"/>
            <w:tcBorders>
              <w:top w:val="nil"/>
              <w:left w:val="nil"/>
              <w:bottom w:val="single" w:sz="4" w:space="0" w:color="auto"/>
              <w:right w:val="single" w:sz="4" w:space="0" w:color="auto"/>
            </w:tcBorders>
            <w:noWrap/>
            <w:vAlign w:val="bottom"/>
            <w:hideMark/>
          </w:tcPr>
          <w:p w14:paraId="1BA6C7F4" w14:textId="09D2632E"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423,584</w:t>
            </w:r>
          </w:p>
        </w:tc>
      </w:tr>
      <w:tr w:rsidR="00DC7319" w:rsidRPr="00525943" w14:paraId="720779CD"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20479165" w14:textId="77777777" w:rsidR="00DC7319" w:rsidRPr="00525943" w:rsidRDefault="00DC7319" w:rsidP="0052594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2015</w:t>
            </w:r>
          </w:p>
        </w:tc>
        <w:tc>
          <w:tcPr>
            <w:tcW w:w="1147" w:type="dxa"/>
            <w:tcBorders>
              <w:top w:val="nil"/>
              <w:left w:val="nil"/>
              <w:bottom w:val="single" w:sz="4" w:space="0" w:color="auto"/>
              <w:right w:val="single" w:sz="4" w:space="0" w:color="auto"/>
            </w:tcBorders>
            <w:noWrap/>
            <w:vAlign w:val="bottom"/>
            <w:hideMark/>
          </w:tcPr>
          <w:p w14:paraId="74A18F01" w14:textId="67338538"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64,535</w:t>
            </w:r>
          </w:p>
        </w:tc>
        <w:tc>
          <w:tcPr>
            <w:tcW w:w="987" w:type="dxa"/>
            <w:tcBorders>
              <w:top w:val="nil"/>
              <w:left w:val="nil"/>
              <w:bottom w:val="single" w:sz="4" w:space="0" w:color="auto"/>
              <w:right w:val="single" w:sz="4" w:space="0" w:color="auto"/>
            </w:tcBorders>
            <w:noWrap/>
            <w:vAlign w:val="bottom"/>
            <w:hideMark/>
          </w:tcPr>
          <w:p w14:paraId="74F805DB" w14:textId="6841661A"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3,000</w:t>
            </w:r>
          </w:p>
        </w:tc>
        <w:tc>
          <w:tcPr>
            <w:tcW w:w="1985" w:type="dxa"/>
            <w:tcBorders>
              <w:top w:val="nil"/>
              <w:left w:val="nil"/>
              <w:bottom w:val="single" w:sz="4" w:space="0" w:color="auto"/>
              <w:right w:val="single" w:sz="4" w:space="0" w:color="auto"/>
            </w:tcBorders>
            <w:noWrap/>
            <w:vAlign w:val="bottom"/>
            <w:hideMark/>
          </w:tcPr>
          <w:p w14:paraId="6A05A35C" w14:textId="2C78A0CF"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22,587</w:t>
            </w:r>
          </w:p>
        </w:tc>
        <w:tc>
          <w:tcPr>
            <w:tcW w:w="1219" w:type="dxa"/>
            <w:tcBorders>
              <w:top w:val="nil"/>
              <w:left w:val="nil"/>
              <w:bottom w:val="single" w:sz="4" w:space="0" w:color="auto"/>
              <w:right w:val="single" w:sz="4" w:space="0" w:color="auto"/>
            </w:tcBorders>
            <w:noWrap/>
            <w:vAlign w:val="bottom"/>
            <w:hideMark/>
          </w:tcPr>
          <w:p w14:paraId="7558E38D" w14:textId="565B2F64"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38,948</w:t>
            </w:r>
          </w:p>
        </w:tc>
        <w:tc>
          <w:tcPr>
            <w:tcW w:w="850" w:type="dxa"/>
            <w:tcBorders>
              <w:top w:val="nil"/>
              <w:left w:val="nil"/>
              <w:bottom w:val="single" w:sz="4" w:space="0" w:color="auto"/>
              <w:right w:val="single" w:sz="4" w:space="0" w:color="auto"/>
            </w:tcBorders>
            <w:noWrap/>
            <w:vAlign w:val="bottom"/>
            <w:hideMark/>
          </w:tcPr>
          <w:p w14:paraId="6E1E7DF9" w14:textId="3073F4B9"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22D3AD13" w14:textId="492E83E3"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24,732</w:t>
            </w:r>
          </w:p>
        </w:tc>
        <w:tc>
          <w:tcPr>
            <w:tcW w:w="1343" w:type="dxa"/>
            <w:tcBorders>
              <w:top w:val="nil"/>
              <w:left w:val="nil"/>
              <w:bottom w:val="single" w:sz="4" w:space="0" w:color="auto"/>
              <w:right w:val="single" w:sz="4" w:space="0" w:color="auto"/>
            </w:tcBorders>
            <w:noWrap/>
            <w:vAlign w:val="bottom"/>
            <w:hideMark/>
          </w:tcPr>
          <w:p w14:paraId="2DA36FDF" w14:textId="78520E63"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39,803</w:t>
            </w:r>
          </w:p>
        </w:tc>
      </w:tr>
      <w:tr w:rsidR="00DC7319" w:rsidRPr="00525943" w14:paraId="719F4C67"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23D8ABBB" w14:textId="77777777" w:rsidR="00DC7319" w:rsidRPr="00525943" w:rsidRDefault="00DC7319" w:rsidP="0052594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2016</w:t>
            </w:r>
          </w:p>
        </w:tc>
        <w:tc>
          <w:tcPr>
            <w:tcW w:w="1147" w:type="dxa"/>
            <w:tcBorders>
              <w:top w:val="nil"/>
              <w:left w:val="nil"/>
              <w:bottom w:val="single" w:sz="4" w:space="0" w:color="auto"/>
              <w:right w:val="single" w:sz="4" w:space="0" w:color="auto"/>
            </w:tcBorders>
            <w:noWrap/>
            <w:vAlign w:val="bottom"/>
            <w:hideMark/>
          </w:tcPr>
          <w:p w14:paraId="4A40DAF5" w14:textId="7EFED6BC"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51,177</w:t>
            </w:r>
          </w:p>
        </w:tc>
        <w:tc>
          <w:tcPr>
            <w:tcW w:w="987" w:type="dxa"/>
            <w:tcBorders>
              <w:top w:val="nil"/>
              <w:left w:val="nil"/>
              <w:bottom w:val="single" w:sz="4" w:space="0" w:color="auto"/>
              <w:right w:val="single" w:sz="4" w:space="0" w:color="auto"/>
            </w:tcBorders>
            <w:noWrap/>
            <w:vAlign w:val="bottom"/>
            <w:hideMark/>
          </w:tcPr>
          <w:p w14:paraId="351CC16C" w14:textId="18C54CDB"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2,740</w:t>
            </w:r>
          </w:p>
        </w:tc>
        <w:tc>
          <w:tcPr>
            <w:tcW w:w="1985" w:type="dxa"/>
            <w:tcBorders>
              <w:top w:val="nil"/>
              <w:left w:val="nil"/>
              <w:bottom w:val="single" w:sz="4" w:space="0" w:color="auto"/>
              <w:right w:val="single" w:sz="4" w:space="0" w:color="auto"/>
            </w:tcBorders>
            <w:noWrap/>
            <w:vAlign w:val="bottom"/>
            <w:hideMark/>
          </w:tcPr>
          <w:p w14:paraId="2B350C99" w14:textId="0C3A895E"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17,175</w:t>
            </w:r>
          </w:p>
        </w:tc>
        <w:tc>
          <w:tcPr>
            <w:tcW w:w="1219" w:type="dxa"/>
            <w:tcBorders>
              <w:top w:val="nil"/>
              <w:left w:val="nil"/>
              <w:bottom w:val="single" w:sz="4" w:space="0" w:color="auto"/>
              <w:right w:val="single" w:sz="4" w:space="0" w:color="auto"/>
            </w:tcBorders>
            <w:noWrap/>
            <w:vAlign w:val="bottom"/>
            <w:hideMark/>
          </w:tcPr>
          <w:p w14:paraId="2D31248C" w14:textId="76CA768B"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31,262</w:t>
            </w:r>
          </w:p>
        </w:tc>
        <w:tc>
          <w:tcPr>
            <w:tcW w:w="850" w:type="dxa"/>
            <w:tcBorders>
              <w:top w:val="nil"/>
              <w:left w:val="nil"/>
              <w:bottom w:val="single" w:sz="4" w:space="0" w:color="auto"/>
              <w:right w:val="single" w:sz="4" w:space="0" w:color="auto"/>
            </w:tcBorders>
            <w:noWrap/>
            <w:vAlign w:val="bottom"/>
            <w:hideMark/>
          </w:tcPr>
          <w:p w14:paraId="5153D5F7" w14:textId="6B802A9B"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18444D09" w14:textId="39C8506D"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14,858</w:t>
            </w:r>
          </w:p>
        </w:tc>
        <w:tc>
          <w:tcPr>
            <w:tcW w:w="1343" w:type="dxa"/>
            <w:tcBorders>
              <w:top w:val="nil"/>
              <w:left w:val="nil"/>
              <w:bottom w:val="single" w:sz="4" w:space="0" w:color="auto"/>
              <w:right w:val="single" w:sz="4" w:space="0" w:color="auto"/>
            </w:tcBorders>
            <w:noWrap/>
            <w:vAlign w:val="bottom"/>
            <w:hideMark/>
          </w:tcPr>
          <w:p w14:paraId="0F4BFFC1" w14:textId="3A84434F"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36,319</w:t>
            </w:r>
          </w:p>
        </w:tc>
      </w:tr>
      <w:tr w:rsidR="00DC7319" w:rsidRPr="00525943" w14:paraId="49B1CFAF"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0742FB97" w14:textId="77777777" w:rsidR="00DC7319" w:rsidRPr="00525943" w:rsidRDefault="00DC7319" w:rsidP="0052594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2017</w:t>
            </w:r>
          </w:p>
        </w:tc>
        <w:tc>
          <w:tcPr>
            <w:tcW w:w="1147" w:type="dxa"/>
            <w:tcBorders>
              <w:top w:val="nil"/>
              <w:left w:val="nil"/>
              <w:bottom w:val="single" w:sz="4" w:space="0" w:color="auto"/>
              <w:right w:val="single" w:sz="4" w:space="0" w:color="auto"/>
            </w:tcBorders>
            <w:noWrap/>
            <w:vAlign w:val="bottom"/>
            <w:hideMark/>
          </w:tcPr>
          <w:p w14:paraId="2FBA802F" w14:textId="7F1704D6"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308,871</w:t>
            </w:r>
          </w:p>
        </w:tc>
        <w:tc>
          <w:tcPr>
            <w:tcW w:w="987" w:type="dxa"/>
            <w:tcBorders>
              <w:top w:val="nil"/>
              <w:left w:val="nil"/>
              <w:bottom w:val="single" w:sz="4" w:space="0" w:color="auto"/>
              <w:right w:val="single" w:sz="4" w:space="0" w:color="auto"/>
            </w:tcBorders>
            <w:noWrap/>
            <w:vAlign w:val="bottom"/>
            <w:hideMark/>
          </w:tcPr>
          <w:p w14:paraId="20D46AFC" w14:textId="6F89764F"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5,428</w:t>
            </w:r>
          </w:p>
        </w:tc>
        <w:tc>
          <w:tcPr>
            <w:tcW w:w="1985" w:type="dxa"/>
            <w:tcBorders>
              <w:top w:val="nil"/>
              <w:left w:val="nil"/>
              <w:bottom w:val="single" w:sz="4" w:space="0" w:color="auto"/>
              <w:right w:val="single" w:sz="4" w:space="0" w:color="auto"/>
            </w:tcBorders>
            <w:noWrap/>
            <w:vAlign w:val="bottom"/>
            <w:hideMark/>
          </w:tcPr>
          <w:p w14:paraId="10190C35" w14:textId="3A588703"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75,212</w:t>
            </w:r>
          </w:p>
        </w:tc>
        <w:tc>
          <w:tcPr>
            <w:tcW w:w="1219" w:type="dxa"/>
            <w:tcBorders>
              <w:top w:val="nil"/>
              <w:left w:val="nil"/>
              <w:bottom w:val="single" w:sz="4" w:space="0" w:color="auto"/>
              <w:right w:val="single" w:sz="4" w:space="0" w:color="auto"/>
            </w:tcBorders>
            <w:noWrap/>
            <w:vAlign w:val="bottom"/>
            <w:hideMark/>
          </w:tcPr>
          <w:p w14:paraId="2BF60BBF" w14:textId="48C861AE"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228,232</w:t>
            </w:r>
          </w:p>
        </w:tc>
        <w:tc>
          <w:tcPr>
            <w:tcW w:w="850" w:type="dxa"/>
            <w:tcBorders>
              <w:top w:val="nil"/>
              <w:left w:val="nil"/>
              <w:bottom w:val="single" w:sz="4" w:space="0" w:color="auto"/>
              <w:right w:val="single" w:sz="4" w:space="0" w:color="auto"/>
            </w:tcBorders>
            <w:noWrap/>
            <w:vAlign w:val="bottom"/>
            <w:hideMark/>
          </w:tcPr>
          <w:p w14:paraId="192D6499" w14:textId="2EEF6E80"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7D78FC9F" w14:textId="278E7B7F"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37,760</w:t>
            </w:r>
          </w:p>
        </w:tc>
        <w:tc>
          <w:tcPr>
            <w:tcW w:w="1343" w:type="dxa"/>
            <w:tcBorders>
              <w:top w:val="nil"/>
              <w:left w:val="nil"/>
              <w:bottom w:val="single" w:sz="4" w:space="0" w:color="auto"/>
              <w:right w:val="single" w:sz="4" w:space="0" w:color="auto"/>
            </w:tcBorders>
            <w:noWrap/>
            <w:vAlign w:val="bottom"/>
            <w:hideMark/>
          </w:tcPr>
          <w:p w14:paraId="25806510" w14:textId="3228E30B"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271,111</w:t>
            </w:r>
          </w:p>
        </w:tc>
      </w:tr>
      <w:tr w:rsidR="00DC7319" w:rsidRPr="00525943" w14:paraId="32899881"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4579413E" w14:textId="77777777" w:rsidR="00DC7319" w:rsidRPr="00525943" w:rsidRDefault="00DC7319" w:rsidP="00525943">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2018</w:t>
            </w:r>
          </w:p>
        </w:tc>
        <w:tc>
          <w:tcPr>
            <w:tcW w:w="1147" w:type="dxa"/>
            <w:tcBorders>
              <w:top w:val="nil"/>
              <w:left w:val="nil"/>
              <w:bottom w:val="single" w:sz="4" w:space="0" w:color="auto"/>
              <w:right w:val="single" w:sz="4" w:space="0" w:color="auto"/>
            </w:tcBorders>
            <w:noWrap/>
            <w:vAlign w:val="bottom"/>
            <w:hideMark/>
          </w:tcPr>
          <w:p w14:paraId="57C8CB1A" w14:textId="659ADD22"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337,368</w:t>
            </w:r>
          </w:p>
        </w:tc>
        <w:tc>
          <w:tcPr>
            <w:tcW w:w="987" w:type="dxa"/>
            <w:tcBorders>
              <w:top w:val="nil"/>
              <w:left w:val="nil"/>
              <w:bottom w:val="single" w:sz="4" w:space="0" w:color="auto"/>
              <w:right w:val="single" w:sz="4" w:space="0" w:color="auto"/>
            </w:tcBorders>
            <w:noWrap/>
            <w:vAlign w:val="bottom"/>
            <w:hideMark/>
          </w:tcPr>
          <w:p w14:paraId="4D248DA5" w14:textId="1C0E7867"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7,428</w:t>
            </w:r>
          </w:p>
        </w:tc>
        <w:tc>
          <w:tcPr>
            <w:tcW w:w="1985" w:type="dxa"/>
            <w:tcBorders>
              <w:top w:val="nil"/>
              <w:left w:val="nil"/>
              <w:bottom w:val="single" w:sz="4" w:space="0" w:color="auto"/>
              <w:right w:val="single" w:sz="4" w:space="0" w:color="auto"/>
            </w:tcBorders>
            <w:noWrap/>
            <w:vAlign w:val="bottom"/>
            <w:hideMark/>
          </w:tcPr>
          <w:p w14:paraId="0E5ACDAF" w14:textId="61676958"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79,202</w:t>
            </w:r>
          </w:p>
        </w:tc>
        <w:tc>
          <w:tcPr>
            <w:tcW w:w="1219" w:type="dxa"/>
            <w:tcBorders>
              <w:top w:val="nil"/>
              <w:left w:val="nil"/>
              <w:bottom w:val="single" w:sz="4" w:space="0" w:color="auto"/>
              <w:right w:val="single" w:sz="4" w:space="0" w:color="auto"/>
            </w:tcBorders>
            <w:noWrap/>
            <w:vAlign w:val="bottom"/>
            <w:hideMark/>
          </w:tcPr>
          <w:p w14:paraId="4C9164C7" w14:textId="7C1D7C50"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250,738</w:t>
            </w:r>
          </w:p>
        </w:tc>
        <w:tc>
          <w:tcPr>
            <w:tcW w:w="850" w:type="dxa"/>
            <w:tcBorders>
              <w:top w:val="nil"/>
              <w:left w:val="nil"/>
              <w:bottom w:val="single" w:sz="4" w:space="0" w:color="auto"/>
              <w:right w:val="single" w:sz="4" w:space="0" w:color="auto"/>
            </w:tcBorders>
            <w:noWrap/>
            <w:vAlign w:val="bottom"/>
            <w:hideMark/>
          </w:tcPr>
          <w:p w14:paraId="00D3F499" w14:textId="326EF772"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5E5B3DF0" w14:textId="102F5DCD"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39,604</w:t>
            </w:r>
          </w:p>
        </w:tc>
        <w:tc>
          <w:tcPr>
            <w:tcW w:w="1343" w:type="dxa"/>
            <w:tcBorders>
              <w:top w:val="nil"/>
              <w:left w:val="nil"/>
              <w:bottom w:val="single" w:sz="4" w:space="0" w:color="auto"/>
              <w:right w:val="single" w:sz="4" w:space="0" w:color="auto"/>
            </w:tcBorders>
            <w:noWrap/>
            <w:vAlign w:val="bottom"/>
            <w:hideMark/>
          </w:tcPr>
          <w:p w14:paraId="6D640E68" w14:textId="7A702E6E" w:rsidR="00DC7319" w:rsidRPr="00525943" w:rsidRDefault="00DC7319" w:rsidP="00525943">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297,764</w:t>
            </w:r>
          </w:p>
        </w:tc>
      </w:tr>
      <w:tr w:rsidR="00DC7319" w:rsidRPr="00525943" w14:paraId="436A28EA" w14:textId="77777777" w:rsidTr="00D94E46">
        <w:trPr>
          <w:trHeight w:val="299"/>
        </w:trPr>
        <w:tc>
          <w:tcPr>
            <w:tcW w:w="696" w:type="dxa"/>
            <w:tcBorders>
              <w:top w:val="nil"/>
              <w:left w:val="single" w:sz="4" w:space="0" w:color="auto"/>
              <w:bottom w:val="single" w:sz="4" w:space="0" w:color="auto"/>
              <w:right w:val="single" w:sz="4" w:space="0" w:color="auto"/>
            </w:tcBorders>
            <w:noWrap/>
            <w:vAlign w:val="bottom"/>
            <w:hideMark/>
          </w:tcPr>
          <w:p w14:paraId="63AC55EB" w14:textId="77777777" w:rsidR="00DC7319" w:rsidRPr="00525943" w:rsidRDefault="00DC7319" w:rsidP="008A4EFE">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2019</w:t>
            </w:r>
          </w:p>
        </w:tc>
        <w:tc>
          <w:tcPr>
            <w:tcW w:w="1147" w:type="dxa"/>
            <w:tcBorders>
              <w:top w:val="nil"/>
              <w:left w:val="nil"/>
              <w:bottom w:val="single" w:sz="4" w:space="0" w:color="auto"/>
              <w:right w:val="single" w:sz="4" w:space="0" w:color="auto"/>
            </w:tcBorders>
            <w:noWrap/>
            <w:vAlign w:val="bottom"/>
            <w:hideMark/>
          </w:tcPr>
          <w:p w14:paraId="6568F608" w14:textId="3CB232EA"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400,964</w:t>
            </w:r>
          </w:p>
        </w:tc>
        <w:tc>
          <w:tcPr>
            <w:tcW w:w="987" w:type="dxa"/>
            <w:tcBorders>
              <w:top w:val="nil"/>
              <w:left w:val="nil"/>
              <w:bottom w:val="single" w:sz="4" w:space="0" w:color="auto"/>
              <w:right w:val="single" w:sz="4" w:space="0" w:color="auto"/>
            </w:tcBorders>
            <w:noWrap/>
            <w:vAlign w:val="bottom"/>
            <w:hideMark/>
          </w:tcPr>
          <w:p w14:paraId="06B36CB2" w14:textId="1ADFF4A1"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4,403</w:t>
            </w:r>
          </w:p>
        </w:tc>
        <w:tc>
          <w:tcPr>
            <w:tcW w:w="1985" w:type="dxa"/>
            <w:tcBorders>
              <w:top w:val="nil"/>
              <w:left w:val="nil"/>
              <w:bottom w:val="single" w:sz="4" w:space="0" w:color="auto"/>
              <w:right w:val="single" w:sz="4" w:space="0" w:color="auto"/>
            </w:tcBorders>
            <w:noWrap/>
            <w:vAlign w:val="bottom"/>
            <w:hideMark/>
          </w:tcPr>
          <w:p w14:paraId="2C5DAFB3" w14:textId="6FD2E2E1"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90,224</w:t>
            </w:r>
          </w:p>
        </w:tc>
        <w:tc>
          <w:tcPr>
            <w:tcW w:w="1219" w:type="dxa"/>
            <w:tcBorders>
              <w:top w:val="nil"/>
              <w:left w:val="nil"/>
              <w:bottom w:val="single" w:sz="4" w:space="0" w:color="auto"/>
              <w:right w:val="single" w:sz="4" w:space="0" w:color="auto"/>
            </w:tcBorders>
            <w:noWrap/>
            <w:vAlign w:val="bottom"/>
            <w:hideMark/>
          </w:tcPr>
          <w:p w14:paraId="212A2100" w14:textId="0103D2E1"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306,337</w:t>
            </w:r>
          </w:p>
        </w:tc>
        <w:tc>
          <w:tcPr>
            <w:tcW w:w="850" w:type="dxa"/>
            <w:tcBorders>
              <w:top w:val="nil"/>
              <w:left w:val="nil"/>
              <w:bottom w:val="single" w:sz="4" w:space="0" w:color="auto"/>
              <w:right w:val="single" w:sz="4" w:space="0" w:color="auto"/>
            </w:tcBorders>
            <w:noWrap/>
            <w:vAlign w:val="bottom"/>
            <w:hideMark/>
          </w:tcPr>
          <w:p w14:paraId="6840AE9A" w14:textId="6617AD2C"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14772D3A" w14:textId="42770171"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69,533</w:t>
            </w:r>
          </w:p>
        </w:tc>
        <w:tc>
          <w:tcPr>
            <w:tcW w:w="1343" w:type="dxa"/>
            <w:tcBorders>
              <w:top w:val="nil"/>
              <w:left w:val="nil"/>
              <w:bottom w:val="single" w:sz="4" w:space="0" w:color="auto"/>
              <w:right w:val="single" w:sz="4" w:space="0" w:color="auto"/>
            </w:tcBorders>
            <w:noWrap/>
            <w:vAlign w:val="bottom"/>
            <w:hideMark/>
          </w:tcPr>
          <w:p w14:paraId="3B0ED766" w14:textId="288058C3"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331,431</w:t>
            </w:r>
          </w:p>
        </w:tc>
      </w:tr>
      <w:tr w:rsidR="00DC7319" w:rsidRPr="00525943" w14:paraId="06EDE062" w14:textId="77777777" w:rsidTr="00D94E46">
        <w:trPr>
          <w:trHeight w:val="299"/>
        </w:trPr>
        <w:tc>
          <w:tcPr>
            <w:tcW w:w="696" w:type="dxa"/>
            <w:tcBorders>
              <w:top w:val="single" w:sz="4" w:space="0" w:color="auto"/>
              <w:left w:val="single" w:sz="4" w:space="0" w:color="auto"/>
              <w:bottom w:val="single" w:sz="4" w:space="0" w:color="auto"/>
              <w:right w:val="single" w:sz="4" w:space="0" w:color="auto"/>
            </w:tcBorders>
            <w:noWrap/>
            <w:vAlign w:val="bottom"/>
            <w:hideMark/>
          </w:tcPr>
          <w:p w14:paraId="5AB07013" w14:textId="77777777" w:rsidR="00DC7319" w:rsidRPr="00525943" w:rsidRDefault="00DC7319" w:rsidP="008A4EFE">
            <w:pPr>
              <w:spacing w:after="0" w:line="240" w:lineRule="auto"/>
              <w:rPr>
                <w:rFonts w:eastAsia="Times New Roman" w:cstheme="minorHAnsi"/>
                <w:sz w:val="20"/>
                <w:szCs w:val="20"/>
                <w:lang w:eastAsia="en-CA"/>
              </w:rPr>
            </w:pPr>
            <w:r w:rsidRPr="00525943">
              <w:rPr>
                <w:rFonts w:eastAsia="Times New Roman" w:cstheme="minorHAnsi"/>
                <w:sz w:val="20"/>
                <w:szCs w:val="20"/>
                <w:lang w:eastAsia="en-CA"/>
              </w:rPr>
              <w:t>2020</w:t>
            </w:r>
          </w:p>
        </w:tc>
        <w:tc>
          <w:tcPr>
            <w:tcW w:w="1147" w:type="dxa"/>
            <w:tcBorders>
              <w:top w:val="single" w:sz="4" w:space="0" w:color="auto"/>
              <w:left w:val="nil"/>
              <w:bottom w:val="single" w:sz="4" w:space="0" w:color="auto"/>
              <w:right w:val="single" w:sz="4" w:space="0" w:color="auto"/>
            </w:tcBorders>
            <w:noWrap/>
            <w:vAlign w:val="bottom"/>
            <w:hideMark/>
          </w:tcPr>
          <w:p w14:paraId="3DC8654A" w14:textId="5ED9FED7"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63,115</w:t>
            </w:r>
          </w:p>
        </w:tc>
        <w:tc>
          <w:tcPr>
            <w:tcW w:w="987" w:type="dxa"/>
            <w:tcBorders>
              <w:top w:val="single" w:sz="4" w:space="0" w:color="auto"/>
              <w:left w:val="nil"/>
              <w:bottom w:val="single" w:sz="4" w:space="0" w:color="auto"/>
              <w:right w:val="single" w:sz="4" w:space="0" w:color="auto"/>
            </w:tcBorders>
            <w:noWrap/>
            <w:vAlign w:val="bottom"/>
            <w:hideMark/>
          </w:tcPr>
          <w:p w14:paraId="4BE2A04C" w14:textId="17460AC5"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2,203</w:t>
            </w:r>
          </w:p>
        </w:tc>
        <w:tc>
          <w:tcPr>
            <w:tcW w:w="1985" w:type="dxa"/>
            <w:tcBorders>
              <w:top w:val="single" w:sz="4" w:space="0" w:color="auto"/>
              <w:left w:val="nil"/>
              <w:bottom w:val="single" w:sz="4" w:space="0" w:color="auto"/>
              <w:right w:val="single" w:sz="4" w:space="0" w:color="auto"/>
            </w:tcBorders>
            <w:noWrap/>
            <w:vAlign w:val="bottom"/>
            <w:hideMark/>
          </w:tcPr>
          <w:p w14:paraId="502C6A56" w14:textId="3020FC53"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18,364</w:t>
            </w:r>
          </w:p>
        </w:tc>
        <w:tc>
          <w:tcPr>
            <w:tcW w:w="1219" w:type="dxa"/>
            <w:tcBorders>
              <w:top w:val="single" w:sz="4" w:space="0" w:color="auto"/>
              <w:left w:val="nil"/>
              <w:bottom w:val="single" w:sz="4" w:space="0" w:color="auto"/>
              <w:right w:val="single" w:sz="4" w:space="0" w:color="auto"/>
            </w:tcBorders>
            <w:noWrap/>
            <w:vAlign w:val="bottom"/>
            <w:hideMark/>
          </w:tcPr>
          <w:p w14:paraId="52F84034" w14:textId="58B4EAC7"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42,548</w:t>
            </w:r>
          </w:p>
        </w:tc>
        <w:tc>
          <w:tcPr>
            <w:tcW w:w="850" w:type="dxa"/>
            <w:tcBorders>
              <w:top w:val="single" w:sz="4" w:space="0" w:color="auto"/>
              <w:left w:val="nil"/>
              <w:bottom w:val="single" w:sz="4" w:space="0" w:color="auto"/>
              <w:right w:val="single" w:sz="4" w:space="0" w:color="auto"/>
            </w:tcBorders>
            <w:noWrap/>
            <w:vAlign w:val="bottom"/>
            <w:hideMark/>
          </w:tcPr>
          <w:p w14:paraId="18C3F85D" w14:textId="355B6C3E"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n/a</w:t>
            </w:r>
          </w:p>
        </w:tc>
        <w:tc>
          <w:tcPr>
            <w:tcW w:w="1955" w:type="dxa"/>
            <w:tcBorders>
              <w:top w:val="single" w:sz="4" w:space="0" w:color="auto"/>
              <w:left w:val="nil"/>
              <w:bottom w:val="single" w:sz="4" w:space="0" w:color="auto"/>
              <w:right w:val="single" w:sz="4" w:space="0" w:color="auto"/>
            </w:tcBorders>
            <w:noWrap/>
            <w:vAlign w:val="bottom"/>
            <w:hideMark/>
          </w:tcPr>
          <w:p w14:paraId="311BC9B9" w14:textId="6E21EB31"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14,860</w:t>
            </w:r>
          </w:p>
        </w:tc>
        <w:tc>
          <w:tcPr>
            <w:tcW w:w="1343" w:type="dxa"/>
            <w:tcBorders>
              <w:top w:val="single" w:sz="4" w:space="0" w:color="auto"/>
              <w:left w:val="nil"/>
              <w:bottom w:val="single" w:sz="4" w:space="0" w:color="auto"/>
              <w:right w:val="single" w:sz="4" w:space="0" w:color="auto"/>
            </w:tcBorders>
            <w:noWrap/>
            <w:vAlign w:val="bottom"/>
            <w:hideMark/>
          </w:tcPr>
          <w:p w14:paraId="1216920E" w14:textId="4F22CD37" w:rsidR="00DC7319" w:rsidRPr="00525943" w:rsidRDefault="00DC7319" w:rsidP="008A4EFE">
            <w:pPr>
              <w:spacing w:after="0" w:line="240" w:lineRule="auto"/>
              <w:jc w:val="right"/>
              <w:rPr>
                <w:rFonts w:eastAsia="Times New Roman" w:cstheme="minorHAnsi"/>
                <w:sz w:val="20"/>
                <w:szCs w:val="20"/>
                <w:lang w:eastAsia="en-CA"/>
              </w:rPr>
            </w:pPr>
            <w:r w:rsidRPr="00525943">
              <w:rPr>
                <w:rFonts w:eastAsia="Times New Roman" w:cstheme="minorHAnsi"/>
                <w:sz w:val="20"/>
                <w:szCs w:val="20"/>
                <w:lang w:eastAsia="en-CA"/>
              </w:rPr>
              <w:t>48,255</w:t>
            </w:r>
          </w:p>
        </w:tc>
      </w:tr>
    </w:tbl>
    <w:p w14:paraId="14BFAA71" w14:textId="764B8CB2" w:rsidR="00DF1B39" w:rsidRDefault="009372EB" w:rsidP="000A3F4F">
      <w:pPr>
        <w:spacing w:afterLines="40" w:after="96" w:line="240" w:lineRule="auto"/>
        <w:rPr>
          <w:sz w:val="20"/>
          <w:szCs w:val="20"/>
        </w:rPr>
      </w:pPr>
      <w:r w:rsidRPr="008A4EFE">
        <w:rPr>
          <w:b/>
          <w:bCs/>
          <w:sz w:val="20"/>
          <w:szCs w:val="20"/>
        </w:rPr>
        <w:t xml:space="preserve">Source: </w:t>
      </w:r>
      <w:r w:rsidRPr="008A4EFE">
        <w:rPr>
          <w:sz w:val="20"/>
          <w:szCs w:val="20"/>
        </w:rPr>
        <w:t>Statistics Canada. </w:t>
      </w:r>
      <w:hyperlink r:id="rId22" w:history="1">
        <w:r w:rsidRPr="008A4EFE">
          <w:rPr>
            <w:rStyle w:val="Hyperlink"/>
            <w:sz w:val="20"/>
            <w:szCs w:val="20"/>
          </w:rPr>
          <w:t>Table 38-10-0006-01  Value of selected natural resource reserves (x 1,000,000)</w:t>
        </w:r>
      </w:hyperlink>
      <w:r w:rsidRPr="008A4EFE">
        <w:rPr>
          <w:sz w:val="20"/>
          <w:szCs w:val="20"/>
        </w:rPr>
        <w:t>;  CAPP</w:t>
      </w:r>
      <w:r w:rsidR="00057FAF" w:rsidRPr="008A4EFE">
        <w:rPr>
          <w:sz w:val="20"/>
          <w:szCs w:val="20"/>
        </w:rPr>
        <w:t xml:space="preserve"> 04-14 Oil Sands Expenditures</w:t>
      </w:r>
      <w:r w:rsidR="008A4EFE">
        <w:rPr>
          <w:sz w:val="20"/>
          <w:szCs w:val="20"/>
        </w:rPr>
        <w:t>.</w:t>
      </w:r>
    </w:p>
    <w:p w14:paraId="3DDC534A" w14:textId="77777777" w:rsidR="00891CBB" w:rsidRDefault="001B0AA1" w:rsidP="00891CBB">
      <w:pPr>
        <w:spacing w:after="0" w:line="240" w:lineRule="auto"/>
        <w:rPr>
          <w:b/>
          <w:bCs/>
          <w:sz w:val="20"/>
          <w:szCs w:val="20"/>
        </w:rPr>
      </w:pPr>
      <w:r w:rsidRPr="00DE028F">
        <w:rPr>
          <w:b/>
          <w:bCs/>
          <w:sz w:val="20"/>
          <w:szCs w:val="20"/>
        </w:rPr>
        <w:t xml:space="preserve">Table </w:t>
      </w:r>
      <w:r w:rsidR="00CE0B1D">
        <w:rPr>
          <w:b/>
          <w:bCs/>
          <w:sz w:val="20"/>
          <w:szCs w:val="20"/>
        </w:rPr>
        <w:t>10</w:t>
      </w:r>
    </w:p>
    <w:p w14:paraId="5F91C544" w14:textId="49B37699" w:rsidR="001A75F7" w:rsidRPr="00DE028F" w:rsidRDefault="000F7E63" w:rsidP="00891CBB">
      <w:pPr>
        <w:spacing w:after="0" w:line="240" w:lineRule="auto"/>
        <w:rPr>
          <w:b/>
          <w:bCs/>
          <w:sz w:val="20"/>
          <w:szCs w:val="20"/>
        </w:rPr>
      </w:pPr>
      <w:r>
        <w:rPr>
          <w:b/>
          <w:bCs/>
          <w:sz w:val="20"/>
          <w:szCs w:val="20"/>
        </w:rPr>
        <w:t>Percent share of ownership (royalty rates)</w:t>
      </w:r>
    </w:p>
    <w:tbl>
      <w:tblPr>
        <w:tblW w:w="9776" w:type="dxa"/>
        <w:tblInd w:w="-5" w:type="dxa"/>
        <w:tblLook w:val="04A0" w:firstRow="1" w:lastRow="0" w:firstColumn="1" w:lastColumn="0" w:noHBand="0" w:noVBand="1"/>
      </w:tblPr>
      <w:tblGrid>
        <w:gridCol w:w="1103"/>
        <w:gridCol w:w="858"/>
        <w:gridCol w:w="1966"/>
        <w:gridCol w:w="1296"/>
        <w:gridCol w:w="956"/>
        <w:gridCol w:w="1955"/>
        <w:gridCol w:w="1642"/>
      </w:tblGrid>
      <w:tr w:rsidR="001A75F7" w:rsidRPr="00891CBB" w14:paraId="43FFAA1C" w14:textId="77777777" w:rsidTr="00D94E46">
        <w:trPr>
          <w:trHeight w:val="255"/>
        </w:trPr>
        <w:tc>
          <w:tcPr>
            <w:tcW w:w="1103" w:type="dxa"/>
            <w:tcBorders>
              <w:top w:val="single" w:sz="4" w:space="0" w:color="auto"/>
              <w:left w:val="single" w:sz="4" w:space="0" w:color="auto"/>
              <w:bottom w:val="single" w:sz="4" w:space="0" w:color="auto"/>
              <w:right w:val="single" w:sz="4" w:space="0" w:color="auto"/>
            </w:tcBorders>
            <w:noWrap/>
            <w:vAlign w:val="bottom"/>
            <w:hideMark/>
          </w:tcPr>
          <w:p w14:paraId="7649B803" w14:textId="77777777" w:rsidR="001A75F7" w:rsidRPr="00891CBB" w:rsidRDefault="001A75F7" w:rsidP="001A75F7">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 </w:t>
            </w:r>
          </w:p>
        </w:tc>
        <w:tc>
          <w:tcPr>
            <w:tcW w:w="4120" w:type="dxa"/>
            <w:gridSpan w:val="3"/>
            <w:tcBorders>
              <w:top w:val="single" w:sz="4" w:space="0" w:color="auto"/>
              <w:left w:val="nil"/>
              <w:bottom w:val="single" w:sz="4" w:space="0" w:color="auto"/>
              <w:right w:val="single" w:sz="4" w:space="0" w:color="000000"/>
            </w:tcBorders>
            <w:noWrap/>
            <w:vAlign w:val="bottom"/>
            <w:hideMark/>
          </w:tcPr>
          <w:p w14:paraId="05254407" w14:textId="77777777" w:rsidR="001A75F7" w:rsidRPr="00891CBB" w:rsidRDefault="001A75F7" w:rsidP="001A75F7">
            <w:pPr>
              <w:spacing w:after="0" w:line="240" w:lineRule="auto"/>
              <w:jc w:val="center"/>
              <w:rPr>
                <w:rFonts w:eastAsia="Times New Roman" w:cstheme="minorHAnsi"/>
                <w:b/>
                <w:bCs/>
                <w:sz w:val="20"/>
                <w:szCs w:val="20"/>
                <w:lang w:eastAsia="en-CA"/>
              </w:rPr>
            </w:pPr>
            <w:r w:rsidRPr="00891CBB">
              <w:rPr>
                <w:rFonts w:eastAsia="Times New Roman" w:cstheme="minorHAnsi"/>
                <w:b/>
                <w:bCs/>
                <w:sz w:val="20"/>
                <w:szCs w:val="20"/>
                <w:lang w:eastAsia="en-CA"/>
              </w:rPr>
              <w:t>Current method: Quarterly rates</w:t>
            </w:r>
          </w:p>
        </w:tc>
        <w:tc>
          <w:tcPr>
            <w:tcW w:w="4553" w:type="dxa"/>
            <w:gridSpan w:val="3"/>
            <w:tcBorders>
              <w:top w:val="single" w:sz="4" w:space="0" w:color="auto"/>
              <w:left w:val="nil"/>
              <w:bottom w:val="single" w:sz="4" w:space="0" w:color="auto"/>
              <w:right w:val="single" w:sz="4" w:space="0" w:color="000000"/>
            </w:tcBorders>
            <w:vAlign w:val="bottom"/>
            <w:hideMark/>
          </w:tcPr>
          <w:p w14:paraId="01AF7A9E" w14:textId="50CA5359" w:rsidR="001A75F7" w:rsidRPr="00891CBB" w:rsidRDefault="001A75F7" w:rsidP="001A75F7">
            <w:pPr>
              <w:spacing w:after="0" w:line="240" w:lineRule="auto"/>
              <w:jc w:val="center"/>
              <w:rPr>
                <w:rFonts w:eastAsia="Times New Roman" w:cstheme="minorHAnsi"/>
                <w:b/>
                <w:bCs/>
                <w:sz w:val="20"/>
                <w:szCs w:val="20"/>
                <w:lang w:eastAsia="en-CA"/>
              </w:rPr>
            </w:pPr>
            <w:r w:rsidRPr="00891CBB">
              <w:rPr>
                <w:rFonts w:eastAsia="Times New Roman" w:cstheme="minorHAnsi"/>
                <w:b/>
                <w:bCs/>
                <w:sz w:val="20"/>
                <w:szCs w:val="20"/>
                <w:lang w:eastAsia="en-CA"/>
              </w:rPr>
              <w:t xml:space="preserve">CAPP Royalty </w:t>
            </w:r>
            <w:r w:rsidR="009434C9" w:rsidRPr="00891CBB">
              <w:rPr>
                <w:rFonts w:eastAsia="Times New Roman" w:cstheme="minorHAnsi"/>
                <w:b/>
                <w:bCs/>
                <w:sz w:val="20"/>
                <w:szCs w:val="20"/>
                <w:lang w:eastAsia="en-CA"/>
              </w:rPr>
              <w:t>rate</w:t>
            </w:r>
          </w:p>
        </w:tc>
      </w:tr>
      <w:tr w:rsidR="001A75F7" w:rsidRPr="00891CBB" w14:paraId="45565B1C"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422DBC2E" w14:textId="17B599B0" w:rsidR="001A75F7" w:rsidRPr="00891CBB" w:rsidRDefault="001A75F7" w:rsidP="001A75F7">
            <w:pPr>
              <w:spacing w:after="0" w:line="240" w:lineRule="auto"/>
              <w:rPr>
                <w:rFonts w:eastAsia="Times New Roman" w:cstheme="minorHAnsi"/>
                <w:b/>
                <w:bCs/>
                <w:sz w:val="20"/>
                <w:szCs w:val="20"/>
                <w:lang w:eastAsia="en-CA"/>
              </w:rPr>
            </w:pPr>
            <w:r w:rsidRPr="00891CBB">
              <w:rPr>
                <w:rFonts w:eastAsia="Times New Roman" w:cstheme="minorHAnsi"/>
                <w:b/>
                <w:bCs/>
                <w:sz w:val="20"/>
                <w:szCs w:val="20"/>
                <w:lang w:eastAsia="en-CA"/>
              </w:rPr>
              <w:t> </w:t>
            </w:r>
            <w:r w:rsidR="00891CBB" w:rsidRPr="00891CBB">
              <w:rPr>
                <w:rFonts w:eastAsia="Times New Roman" w:cstheme="minorHAnsi"/>
                <w:b/>
                <w:bCs/>
                <w:sz w:val="20"/>
                <w:szCs w:val="20"/>
                <w:lang w:eastAsia="en-CA"/>
              </w:rPr>
              <w:t>Year</w:t>
            </w:r>
          </w:p>
        </w:tc>
        <w:tc>
          <w:tcPr>
            <w:tcW w:w="858" w:type="dxa"/>
            <w:tcBorders>
              <w:top w:val="single" w:sz="4" w:space="0" w:color="auto"/>
              <w:left w:val="nil"/>
              <w:bottom w:val="single" w:sz="4" w:space="0" w:color="auto"/>
              <w:right w:val="single" w:sz="4" w:space="0" w:color="auto"/>
            </w:tcBorders>
            <w:noWrap/>
            <w:vAlign w:val="bottom"/>
            <w:hideMark/>
          </w:tcPr>
          <w:p w14:paraId="6F99108B" w14:textId="77777777" w:rsidR="001A75F7" w:rsidRPr="00891CBB" w:rsidRDefault="001A75F7" w:rsidP="00891CBB">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Federal</w:t>
            </w:r>
          </w:p>
        </w:tc>
        <w:tc>
          <w:tcPr>
            <w:tcW w:w="1966" w:type="dxa"/>
            <w:tcBorders>
              <w:top w:val="single" w:sz="4" w:space="0" w:color="auto"/>
              <w:left w:val="nil"/>
              <w:bottom w:val="single" w:sz="4" w:space="0" w:color="auto"/>
              <w:right w:val="single" w:sz="4" w:space="0" w:color="auto"/>
            </w:tcBorders>
            <w:noWrap/>
            <w:vAlign w:val="bottom"/>
            <w:hideMark/>
          </w:tcPr>
          <w:p w14:paraId="5E1C8A8C" w14:textId="0D92FFB4" w:rsidR="001A75F7" w:rsidRPr="00891CBB" w:rsidRDefault="001A13B9" w:rsidP="00891CBB">
            <w:pPr>
              <w:spacing w:after="0" w:line="240" w:lineRule="auto"/>
              <w:jc w:val="right"/>
              <w:rPr>
                <w:rFonts w:eastAsia="Times New Roman" w:cstheme="minorHAnsi"/>
                <w:b/>
                <w:bCs/>
                <w:sz w:val="20"/>
                <w:szCs w:val="20"/>
                <w:lang w:eastAsia="en-CA"/>
              </w:rPr>
            </w:pPr>
            <w:r w:rsidRPr="006357BC">
              <w:rPr>
                <w:rFonts w:eastAsia="Times New Roman" w:cstheme="minorHAnsi"/>
                <w:b/>
                <w:bCs/>
                <w:color w:val="000000"/>
                <w:sz w:val="20"/>
                <w:szCs w:val="20"/>
                <w:lang w:eastAsia="en-CA"/>
              </w:rPr>
              <w:t>Provincial/Territorial</w:t>
            </w:r>
          </w:p>
        </w:tc>
        <w:tc>
          <w:tcPr>
            <w:tcW w:w="1296" w:type="dxa"/>
            <w:tcBorders>
              <w:top w:val="single" w:sz="4" w:space="0" w:color="auto"/>
              <w:left w:val="nil"/>
              <w:bottom w:val="single" w:sz="4" w:space="0" w:color="auto"/>
              <w:right w:val="single" w:sz="4" w:space="0" w:color="auto"/>
            </w:tcBorders>
            <w:noWrap/>
            <w:vAlign w:val="bottom"/>
            <w:hideMark/>
          </w:tcPr>
          <w:p w14:paraId="07FC05FD" w14:textId="409C5C42" w:rsidR="001A75F7" w:rsidRPr="00891CBB" w:rsidRDefault="001A75F7" w:rsidP="00891CBB">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Corp</w:t>
            </w:r>
            <w:r w:rsidR="00E12D2C" w:rsidRPr="00891CBB">
              <w:rPr>
                <w:rFonts w:eastAsia="Times New Roman" w:cstheme="minorHAnsi"/>
                <w:b/>
                <w:bCs/>
                <w:sz w:val="20"/>
                <w:szCs w:val="20"/>
                <w:lang w:eastAsia="en-CA"/>
              </w:rPr>
              <w:t>orat</w:t>
            </w:r>
            <w:r w:rsidR="00D94E46">
              <w:rPr>
                <w:rFonts w:eastAsia="Times New Roman" w:cstheme="minorHAnsi"/>
                <w:b/>
                <w:bCs/>
                <w:sz w:val="20"/>
                <w:szCs w:val="20"/>
                <w:lang w:eastAsia="en-CA"/>
              </w:rPr>
              <w:t>ion</w:t>
            </w:r>
          </w:p>
        </w:tc>
        <w:tc>
          <w:tcPr>
            <w:tcW w:w="956" w:type="dxa"/>
            <w:tcBorders>
              <w:top w:val="single" w:sz="4" w:space="0" w:color="auto"/>
              <w:left w:val="nil"/>
              <w:bottom w:val="single" w:sz="4" w:space="0" w:color="auto"/>
              <w:right w:val="single" w:sz="4" w:space="0" w:color="auto"/>
            </w:tcBorders>
            <w:noWrap/>
            <w:vAlign w:val="bottom"/>
            <w:hideMark/>
          </w:tcPr>
          <w:p w14:paraId="6A7E6850" w14:textId="77777777" w:rsidR="001A75F7" w:rsidRPr="00891CBB" w:rsidRDefault="001A75F7" w:rsidP="00891CBB">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Federal</w:t>
            </w:r>
          </w:p>
        </w:tc>
        <w:tc>
          <w:tcPr>
            <w:tcW w:w="1955" w:type="dxa"/>
            <w:tcBorders>
              <w:top w:val="single" w:sz="4" w:space="0" w:color="auto"/>
              <w:left w:val="nil"/>
              <w:bottom w:val="single" w:sz="4" w:space="0" w:color="auto"/>
              <w:right w:val="single" w:sz="4" w:space="0" w:color="auto"/>
            </w:tcBorders>
            <w:noWrap/>
            <w:vAlign w:val="bottom"/>
            <w:hideMark/>
          </w:tcPr>
          <w:p w14:paraId="0E74C81E" w14:textId="0C7E6B2D" w:rsidR="001A75F7" w:rsidRPr="00891CBB" w:rsidRDefault="001A13B9" w:rsidP="00891CBB">
            <w:pPr>
              <w:spacing w:after="0" w:line="240" w:lineRule="auto"/>
              <w:jc w:val="right"/>
              <w:rPr>
                <w:rFonts w:eastAsia="Times New Roman" w:cstheme="minorHAnsi"/>
                <w:b/>
                <w:bCs/>
                <w:sz w:val="20"/>
                <w:szCs w:val="20"/>
                <w:lang w:eastAsia="en-CA"/>
              </w:rPr>
            </w:pPr>
            <w:r w:rsidRPr="006357BC">
              <w:rPr>
                <w:rFonts w:eastAsia="Times New Roman" w:cstheme="minorHAnsi"/>
                <w:b/>
                <w:bCs/>
                <w:color w:val="000000"/>
                <w:sz w:val="20"/>
                <w:szCs w:val="20"/>
                <w:lang w:eastAsia="en-CA"/>
              </w:rPr>
              <w:t>Provincial/Territorial</w:t>
            </w:r>
          </w:p>
        </w:tc>
        <w:tc>
          <w:tcPr>
            <w:tcW w:w="1642" w:type="dxa"/>
            <w:tcBorders>
              <w:top w:val="single" w:sz="4" w:space="0" w:color="auto"/>
              <w:left w:val="nil"/>
              <w:bottom w:val="single" w:sz="4" w:space="0" w:color="auto"/>
              <w:right w:val="single" w:sz="4" w:space="0" w:color="auto"/>
            </w:tcBorders>
            <w:noWrap/>
            <w:vAlign w:val="bottom"/>
            <w:hideMark/>
          </w:tcPr>
          <w:p w14:paraId="312DCE76" w14:textId="1C61C616" w:rsidR="001A75F7" w:rsidRPr="00891CBB" w:rsidRDefault="001A75F7" w:rsidP="00891CBB">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Corp</w:t>
            </w:r>
            <w:r w:rsidR="00E12D2C" w:rsidRPr="00891CBB">
              <w:rPr>
                <w:rFonts w:eastAsia="Times New Roman" w:cstheme="minorHAnsi"/>
                <w:b/>
                <w:bCs/>
                <w:sz w:val="20"/>
                <w:szCs w:val="20"/>
                <w:lang w:eastAsia="en-CA"/>
              </w:rPr>
              <w:t>orat</w:t>
            </w:r>
            <w:r w:rsidR="00D94E46">
              <w:rPr>
                <w:rFonts w:eastAsia="Times New Roman" w:cstheme="minorHAnsi"/>
                <w:b/>
                <w:bCs/>
                <w:sz w:val="20"/>
                <w:szCs w:val="20"/>
                <w:lang w:eastAsia="en-CA"/>
              </w:rPr>
              <w:t>ion</w:t>
            </w:r>
          </w:p>
        </w:tc>
      </w:tr>
      <w:tr w:rsidR="000B2A8B" w:rsidRPr="00891CBB" w14:paraId="01C3F3D8" w14:textId="77777777" w:rsidTr="00D94E46">
        <w:trPr>
          <w:trHeight w:val="255"/>
        </w:trPr>
        <w:tc>
          <w:tcPr>
            <w:tcW w:w="1103" w:type="dxa"/>
            <w:tcBorders>
              <w:top w:val="single" w:sz="4" w:space="0" w:color="auto"/>
              <w:left w:val="single" w:sz="4" w:space="0" w:color="auto"/>
              <w:bottom w:val="single" w:sz="4" w:space="0" w:color="auto"/>
              <w:right w:val="single" w:sz="4" w:space="0" w:color="auto"/>
            </w:tcBorders>
            <w:noWrap/>
            <w:vAlign w:val="bottom"/>
          </w:tcPr>
          <w:p w14:paraId="34FA3E18" w14:textId="77777777" w:rsidR="000B2A8B" w:rsidRPr="00891CBB" w:rsidRDefault="000B2A8B" w:rsidP="00891CBB">
            <w:pPr>
              <w:spacing w:after="0" w:line="240" w:lineRule="auto"/>
              <w:rPr>
                <w:rFonts w:eastAsia="Times New Roman" w:cstheme="minorHAnsi"/>
                <w:sz w:val="20"/>
                <w:szCs w:val="20"/>
                <w:lang w:eastAsia="en-CA"/>
              </w:rPr>
            </w:pPr>
          </w:p>
        </w:tc>
        <w:tc>
          <w:tcPr>
            <w:tcW w:w="8673" w:type="dxa"/>
            <w:gridSpan w:val="6"/>
            <w:tcBorders>
              <w:top w:val="single" w:sz="4" w:space="0" w:color="auto"/>
              <w:left w:val="single" w:sz="4" w:space="0" w:color="auto"/>
              <w:bottom w:val="single" w:sz="4" w:space="0" w:color="auto"/>
              <w:right w:val="single" w:sz="4" w:space="0" w:color="auto"/>
            </w:tcBorders>
            <w:noWrap/>
            <w:vAlign w:val="bottom"/>
          </w:tcPr>
          <w:p w14:paraId="0EA597F9" w14:textId="1DB28970" w:rsidR="000B2A8B" w:rsidRPr="00891CBB" w:rsidRDefault="000B2A8B" w:rsidP="000B2A8B">
            <w:pPr>
              <w:spacing w:after="0" w:line="240" w:lineRule="auto"/>
              <w:jc w:val="center"/>
              <w:rPr>
                <w:rFonts w:eastAsia="Times New Roman" w:cstheme="minorHAnsi"/>
                <w:sz w:val="20"/>
                <w:szCs w:val="20"/>
                <w:lang w:eastAsia="en-CA"/>
              </w:rPr>
            </w:pPr>
            <w:r>
              <w:rPr>
                <w:rFonts w:eastAsia="Times New Roman" w:cstheme="minorHAnsi"/>
                <w:sz w:val="20"/>
                <w:szCs w:val="20"/>
                <w:lang w:eastAsia="en-CA"/>
              </w:rPr>
              <w:t>percent</w:t>
            </w:r>
          </w:p>
        </w:tc>
      </w:tr>
      <w:tr w:rsidR="001A75F7" w:rsidRPr="00891CBB" w14:paraId="2FC6F5F6"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1CF21DA3"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2010</w:t>
            </w:r>
          </w:p>
        </w:tc>
        <w:tc>
          <w:tcPr>
            <w:tcW w:w="858" w:type="dxa"/>
            <w:tcBorders>
              <w:top w:val="single" w:sz="4" w:space="0" w:color="auto"/>
              <w:left w:val="nil"/>
              <w:bottom w:val="single" w:sz="4" w:space="0" w:color="auto"/>
              <w:right w:val="single" w:sz="4" w:space="0" w:color="auto"/>
            </w:tcBorders>
            <w:noWrap/>
            <w:vAlign w:val="bottom"/>
            <w:hideMark/>
          </w:tcPr>
          <w:p w14:paraId="0F67AF3D"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2.3%</w:t>
            </w:r>
          </w:p>
        </w:tc>
        <w:tc>
          <w:tcPr>
            <w:tcW w:w="1966" w:type="dxa"/>
            <w:tcBorders>
              <w:top w:val="single" w:sz="4" w:space="0" w:color="auto"/>
              <w:left w:val="nil"/>
              <w:bottom w:val="single" w:sz="4" w:space="0" w:color="auto"/>
              <w:right w:val="single" w:sz="4" w:space="0" w:color="auto"/>
            </w:tcBorders>
            <w:noWrap/>
            <w:vAlign w:val="bottom"/>
            <w:hideMark/>
          </w:tcPr>
          <w:p w14:paraId="17BA7368"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24.1%</w:t>
            </w:r>
          </w:p>
        </w:tc>
        <w:tc>
          <w:tcPr>
            <w:tcW w:w="1296" w:type="dxa"/>
            <w:tcBorders>
              <w:top w:val="single" w:sz="4" w:space="0" w:color="auto"/>
              <w:left w:val="nil"/>
              <w:bottom w:val="single" w:sz="4" w:space="0" w:color="auto"/>
              <w:right w:val="single" w:sz="4" w:space="0" w:color="auto"/>
            </w:tcBorders>
            <w:noWrap/>
            <w:vAlign w:val="bottom"/>
            <w:hideMark/>
          </w:tcPr>
          <w:p w14:paraId="66EA11C1"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73.6%</w:t>
            </w:r>
          </w:p>
        </w:tc>
        <w:tc>
          <w:tcPr>
            <w:tcW w:w="956" w:type="dxa"/>
            <w:tcBorders>
              <w:top w:val="single" w:sz="4" w:space="0" w:color="auto"/>
              <w:left w:val="nil"/>
              <w:bottom w:val="single" w:sz="4" w:space="0" w:color="auto"/>
              <w:right w:val="single" w:sz="4" w:space="0" w:color="auto"/>
            </w:tcBorders>
            <w:noWrap/>
            <w:vAlign w:val="bottom"/>
            <w:hideMark/>
          </w:tcPr>
          <w:p w14:paraId="3CB80310" w14:textId="55D35D40"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single" w:sz="4" w:space="0" w:color="auto"/>
              <w:left w:val="nil"/>
              <w:bottom w:val="single" w:sz="4" w:space="0" w:color="auto"/>
              <w:right w:val="single" w:sz="4" w:space="0" w:color="auto"/>
            </w:tcBorders>
            <w:noWrap/>
            <w:vAlign w:val="bottom"/>
            <w:hideMark/>
          </w:tcPr>
          <w:p w14:paraId="7A5A5081"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24.0%</w:t>
            </w:r>
          </w:p>
        </w:tc>
        <w:tc>
          <w:tcPr>
            <w:tcW w:w="1642" w:type="dxa"/>
            <w:tcBorders>
              <w:top w:val="single" w:sz="4" w:space="0" w:color="auto"/>
              <w:left w:val="nil"/>
              <w:bottom w:val="single" w:sz="4" w:space="0" w:color="auto"/>
              <w:right w:val="single" w:sz="4" w:space="0" w:color="auto"/>
            </w:tcBorders>
            <w:noWrap/>
            <w:vAlign w:val="bottom"/>
            <w:hideMark/>
          </w:tcPr>
          <w:p w14:paraId="75CF60F1"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76.0%</w:t>
            </w:r>
          </w:p>
        </w:tc>
      </w:tr>
      <w:tr w:rsidR="001A75F7" w:rsidRPr="00891CBB" w14:paraId="6D830AA3"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7ED6B44E"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2011</w:t>
            </w:r>
          </w:p>
        </w:tc>
        <w:tc>
          <w:tcPr>
            <w:tcW w:w="858" w:type="dxa"/>
            <w:tcBorders>
              <w:top w:val="nil"/>
              <w:left w:val="nil"/>
              <w:bottom w:val="single" w:sz="4" w:space="0" w:color="auto"/>
              <w:right w:val="single" w:sz="4" w:space="0" w:color="auto"/>
            </w:tcBorders>
            <w:noWrap/>
            <w:vAlign w:val="bottom"/>
            <w:hideMark/>
          </w:tcPr>
          <w:p w14:paraId="0DD021A7"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1.7%</w:t>
            </w:r>
          </w:p>
        </w:tc>
        <w:tc>
          <w:tcPr>
            <w:tcW w:w="1966" w:type="dxa"/>
            <w:tcBorders>
              <w:top w:val="nil"/>
              <w:left w:val="nil"/>
              <w:bottom w:val="single" w:sz="4" w:space="0" w:color="auto"/>
              <w:right w:val="single" w:sz="4" w:space="0" w:color="auto"/>
            </w:tcBorders>
            <w:noWrap/>
            <w:vAlign w:val="bottom"/>
            <w:hideMark/>
          </w:tcPr>
          <w:p w14:paraId="04A7CD54"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20.9%</w:t>
            </w:r>
          </w:p>
        </w:tc>
        <w:tc>
          <w:tcPr>
            <w:tcW w:w="1296" w:type="dxa"/>
            <w:tcBorders>
              <w:top w:val="nil"/>
              <w:left w:val="nil"/>
              <w:bottom w:val="single" w:sz="4" w:space="0" w:color="auto"/>
              <w:right w:val="single" w:sz="4" w:space="0" w:color="auto"/>
            </w:tcBorders>
            <w:noWrap/>
            <w:vAlign w:val="bottom"/>
            <w:hideMark/>
          </w:tcPr>
          <w:p w14:paraId="347CB1D5"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77.4%</w:t>
            </w:r>
          </w:p>
        </w:tc>
        <w:tc>
          <w:tcPr>
            <w:tcW w:w="956" w:type="dxa"/>
            <w:tcBorders>
              <w:top w:val="nil"/>
              <w:left w:val="nil"/>
              <w:bottom w:val="single" w:sz="4" w:space="0" w:color="auto"/>
              <w:right w:val="single" w:sz="4" w:space="0" w:color="auto"/>
            </w:tcBorders>
            <w:noWrap/>
            <w:vAlign w:val="bottom"/>
            <w:hideMark/>
          </w:tcPr>
          <w:p w14:paraId="2EBF1990" w14:textId="0510AFB5"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74447357"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21.6%</w:t>
            </w:r>
          </w:p>
        </w:tc>
        <w:tc>
          <w:tcPr>
            <w:tcW w:w="1642" w:type="dxa"/>
            <w:tcBorders>
              <w:top w:val="nil"/>
              <w:left w:val="nil"/>
              <w:bottom w:val="single" w:sz="4" w:space="0" w:color="auto"/>
              <w:right w:val="single" w:sz="4" w:space="0" w:color="auto"/>
            </w:tcBorders>
            <w:noWrap/>
            <w:vAlign w:val="bottom"/>
            <w:hideMark/>
          </w:tcPr>
          <w:p w14:paraId="0109BC22"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78.4%</w:t>
            </w:r>
          </w:p>
        </w:tc>
      </w:tr>
      <w:tr w:rsidR="001A75F7" w:rsidRPr="00891CBB" w14:paraId="28E93C1F"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573C0873"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2012</w:t>
            </w:r>
          </w:p>
        </w:tc>
        <w:tc>
          <w:tcPr>
            <w:tcW w:w="858" w:type="dxa"/>
            <w:tcBorders>
              <w:top w:val="nil"/>
              <w:left w:val="nil"/>
              <w:bottom w:val="single" w:sz="4" w:space="0" w:color="auto"/>
              <w:right w:val="single" w:sz="4" w:space="0" w:color="auto"/>
            </w:tcBorders>
            <w:noWrap/>
            <w:vAlign w:val="bottom"/>
            <w:hideMark/>
          </w:tcPr>
          <w:p w14:paraId="351D051C"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2.5%</w:t>
            </w:r>
          </w:p>
        </w:tc>
        <w:tc>
          <w:tcPr>
            <w:tcW w:w="1966" w:type="dxa"/>
            <w:tcBorders>
              <w:top w:val="nil"/>
              <w:left w:val="nil"/>
              <w:bottom w:val="single" w:sz="4" w:space="0" w:color="auto"/>
              <w:right w:val="single" w:sz="4" w:space="0" w:color="auto"/>
            </w:tcBorders>
            <w:noWrap/>
            <w:vAlign w:val="bottom"/>
            <w:hideMark/>
          </w:tcPr>
          <w:p w14:paraId="3559DB23"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19.9%</w:t>
            </w:r>
          </w:p>
        </w:tc>
        <w:tc>
          <w:tcPr>
            <w:tcW w:w="1296" w:type="dxa"/>
            <w:tcBorders>
              <w:top w:val="nil"/>
              <w:left w:val="nil"/>
              <w:bottom w:val="single" w:sz="4" w:space="0" w:color="auto"/>
              <w:right w:val="single" w:sz="4" w:space="0" w:color="auto"/>
            </w:tcBorders>
            <w:noWrap/>
            <w:vAlign w:val="bottom"/>
            <w:hideMark/>
          </w:tcPr>
          <w:p w14:paraId="5338B0FE"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77.6%</w:t>
            </w:r>
          </w:p>
        </w:tc>
        <w:tc>
          <w:tcPr>
            <w:tcW w:w="956" w:type="dxa"/>
            <w:tcBorders>
              <w:top w:val="nil"/>
              <w:left w:val="nil"/>
              <w:bottom w:val="single" w:sz="4" w:space="0" w:color="auto"/>
              <w:right w:val="single" w:sz="4" w:space="0" w:color="auto"/>
            </w:tcBorders>
            <w:noWrap/>
            <w:vAlign w:val="bottom"/>
            <w:hideMark/>
          </w:tcPr>
          <w:p w14:paraId="40EAF3F7" w14:textId="4FDF670A"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109E0F98"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20.4%</w:t>
            </w:r>
          </w:p>
        </w:tc>
        <w:tc>
          <w:tcPr>
            <w:tcW w:w="1642" w:type="dxa"/>
            <w:tcBorders>
              <w:top w:val="nil"/>
              <w:left w:val="nil"/>
              <w:bottom w:val="single" w:sz="4" w:space="0" w:color="auto"/>
              <w:right w:val="single" w:sz="4" w:space="0" w:color="auto"/>
            </w:tcBorders>
            <w:noWrap/>
            <w:vAlign w:val="bottom"/>
            <w:hideMark/>
          </w:tcPr>
          <w:p w14:paraId="1AC8EAED"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79.6%</w:t>
            </w:r>
          </w:p>
        </w:tc>
      </w:tr>
      <w:tr w:rsidR="001A75F7" w:rsidRPr="00891CBB" w14:paraId="022FFF4D"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16B449AE"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2013</w:t>
            </w:r>
          </w:p>
        </w:tc>
        <w:tc>
          <w:tcPr>
            <w:tcW w:w="858" w:type="dxa"/>
            <w:tcBorders>
              <w:top w:val="nil"/>
              <w:left w:val="nil"/>
              <w:bottom w:val="single" w:sz="4" w:space="0" w:color="auto"/>
              <w:right w:val="single" w:sz="4" w:space="0" w:color="auto"/>
            </w:tcBorders>
            <w:noWrap/>
            <w:vAlign w:val="bottom"/>
            <w:hideMark/>
          </w:tcPr>
          <w:p w14:paraId="1D7B5894"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1.8%</w:t>
            </w:r>
          </w:p>
        </w:tc>
        <w:tc>
          <w:tcPr>
            <w:tcW w:w="1966" w:type="dxa"/>
            <w:tcBorders>
              <w:top w:val="nil"/>
              <w:left w:val="nil"/>
              <w:bottom w:val="single" w:sz="4" w:space="0" w:color="auto"/>
              <w:right w:val="single" w:sz="4" w:space="0" w:color="auto"/>
            </w:tcBorders>
            <w:noWrap/>
            <w:vAlign w:val="bottom"/>
            <w:hideMark/>
          </w:tcPr>
          <w:p w14:paraId="2001DA5E"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25.5%</w:t>
            </w:r>
          </w:p>
        </w:tc>
        <w:tc>
          <w:tcPr>
            <w:tcW w:w="1296" w:type="dxa"/>
            <w:tcBorders>
              <w:top w:val="nil"/>
              <w:left w:val="nil"/>
              <w:bottom w:val="single" w:sz="4" w:space="0" w:color="auto"/>
              <w:right w:val="single" w:sz="4" w:space="0" w:color="auto"/>
            </w:tcBorders>
            <w:noWrap/>
            <w:vAlign w:val="bottom"/>
            <w:hideMark/>
          </w:tcPr>
          <w:p w14:paraId="02230F42"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72.7%</w:t>
            </w:r>
          </w:p>
        </w:tc>
        <w:tc>
          <w:tcPr>
            <w:tcW w:w="956" w:type="dxa"/>
            <w:tcBorders>
              <w:top w:val="nil"/>
              <w:left w:val="nil"/>
              <w:bottom w:val="single" w:sz="4" w:space="0" w:color="auto"/>
              <w:right w:val="single" w:sz="4" w:space="0" w:color="auto"/>
            </w:tcBorders>
            <w:noWrap/>
            <w:vAlign w:val="bottom"/>
            <w:hideMark/>
          </w:tcPr>
          <w:p w14:paraId="160D18EB" w14:textId="62624A2F"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0F819CDC"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22.5%</w:t>
            </w:r>
          </w:p>
        </w:tc>
        <w:tc>
          <w:tcPr>
            <w:tcW w:w="1642" w:type="dxa"/>
            <w:tcBorders>
              <w:top w:val="nil"/>
              <w:left w:val="nil"/>
              <w:bottom w:val="single" w:sz="4" w:space="0" w:color="auto"/>
              <w:right w:val="single" w:sz="4" w:space="0" w:color="auto"/>
            </w:tcBorders>
            <w:noWrap/>
            <w:vAlign w:val="bottom"/>
            <w:hideMark/>
          </w:tcPr>
          <w:p w14:paraId="7A6B51DA"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77.5%</w:t>
            </w:r>
          </w:p>
        </w:tc>
      </w:tr>
      <w:tr w:rsidR="001A75F7" w:rsidRPr="00891CBB" w14:paraId="6B204830"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0661DE0E"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lastRenderedPageBreak/>
              <w:t>2014</w:t>
            </w:r>
          </w:p>
        </w:tc>
        <w:tc>
          <w:tcPr>
            <w:tcW w:w="858" w:type="dxa"/>
            <w:tcBorders>
              <w:top w:val="nil"/>
              <w:left w:val="nil"/>
              <w:bottom w:val="single" w:sz="4" w:space="0" w:color="auto"/>
              <w:right w:val="single" w:sz="4" w:space="0" w:color="auto"/>
            </w:tcBorders>
            <w:noWrap/>
            <w:vAlign w:val="bottom"/>
            <w:hideMark/>
          </w:tcPr>
          <w:p w14:paraId="73907196"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1.7%</w:t>
            </w:r>
          </w:p>
        </w:tc>
        <w:tc>
          <w:tcPr>
            <w:tcW w:w="1966" w:type="dxa"/>
            <w:tcBorders>
              <w:top w:val="nil"/>
              <w:left w:val="nil"/>
              <w:bottom w:val="single" w:sz="4" w:space="0" w:color="auto"/>
              <w:right w:val="single" w:sz="4" w:space="0" w:color="auto"/>
            </w:tcBorders>
            <w:noWrap/>
            <w:vAlign w:val="bottom"/>
            <w:hideMark/>
          </w:tcPr>
          <w:p w14:paraId="076288AA"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25.4%</w:t>
            </w:r>
          </w:p>
        </w:tc>
        <w:tc>
          <w:tcPr>
            <w:tcW w:w="1296" w:type="dxa"/>
            <w:tcBorders>
              <w:top w:val="nil"/>
              <w:left w:val="nil"/>
              <w:bottom w:val="single" w:sz="4" w:space="0" w:color="auto"/>
              <w:right w:val="single" w:sz="4" w:space="0" w:color="auto"/>
            </w:tcBorders>
            <w:noWrap/>
            <w:vAlign w:val="bottom"/>
            <w:hideMark/>
          </w:tcPr>
          <w:p w14:paraId="6A218BCA"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72.9%</w:t>
            </w:r>
          </w:p>
        </w:tc>
        <w:tc>
          <w:tcPr>
            <w:tcW w:w="956" w:type="dxa"/>
            <w:tcBorders>
              <w:top w:val="nil"/>
              <w:left w:val="nil"/>
              <w:bottom w:val="single" w:sz="4" w:space="0" w:color="auto"/>
              <w:right w:val="single" w:sz="4" w:space="0" w:color="auto"/>
            </w:tcBorders>
            <w:noWrap/>
            <w:vAlign w:val="bottom"/>
            <w:hideMark/>
          </w:tcPr>
          <w:p w14:paraId="23FCC0C4" w14:textId="3A602388"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327BE6C3"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19.5%</w:t>
            </w:r>
          </w:p>
        </w:tc>
        <w:tc>
          <w:tcPr>
            <w:tcW w:w="1642" w:type="dxa"/>
            <w:tcBorders>
              <w:top w:val="nil"/>
              <w:left w:val="nil"/>
              <w:bottom w:val="single" w:sz="4" w:space="0" w:color="auto"/>
              <w:right w:val="single" w:sz="4" w:space="0" w:color="auto"/>
            </w:tcBorders>
            <w:noWrap/>
            <w:vAlign w:val="bottom"/>
            <w:hideMark/>
          </w:tcPr>
          <w:p w14:paraId="56508C39"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80.5%</w:t>
            </w:r>
          </w:p>
        </w:tc>
      </w:tr>
      <w:tr w:rsidR="001A75F7" w:rsidRPr="00891CBB" w14:paraId="1D7BEBCC"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507E3F57"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2015</w:t>
            </w:r>
          </w:p>
        </w:tc>
        <w:tc>
          <w:tcPr>
            <w:tcW w:w="858" w:type="dxa"/>
            <w:tcBorders>
              <w:top w:val="nil"/>
              <w:left w:val="nil"/>
              <w:bottom w:val="single" w:sz="4" w:space="0" w:color="auto"/>
              <w:right w:val="single" w:sz="4" w:space="0" w:color="auto"/>
            </w:tcBorders>
            <w:noWrap/>
            <w:vAlign w:val="bottom"/>
            <w:hideMark/>
          </w:tcPr>
          <w:p w14:paraId="1650C7A5"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4.6%</w:t>
            </w:r>
          </w:p>
        </w:tc>
        <w:tc>
          <w:tcPr>
            <w:tcW w:w="1966" w:type="dxa"/>
            <w:tcBorders>
              <w:top w:val="nil"/>
              <w:left w:val="nil"/>
              <w:bottom w:val="single" w:sz="4" w:space="0" w:color="auto"/>
              <w:right w:val="single" w:sz="4" w:space="0" w:color="auto"/>
            </w:tcBorders>
            <w:noWrap/>
            <w:vAlign w:val="bottom"/>
            <w:hideMark/>
          </w:tcPr>
          <w:p w14:paraId="3407D305"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35.0%</w:t>
            </w:r>
          </w:p>
        </w:tc>
        <w:tc>
          <w:tcPr>
            <w:tcW w:w="1296" w:type="dxa"/>
            <w:tcBorders>
              <w:top w:val="nil"/>
              <w:left w:val="nil"/>
              <w:bottom w:val="single" w:sz="4" w:space="0" w:color="auto"/>
              <w:right w:val="single" w:sz="4" w:space="0" w:color="auto"/>
            </w:tcBorders>
            <w:noWrap/>
            <w:vAlign w:val="bottom"/>
            <w:hideMark/>
          </w:tcPr>
          <w:p w14:paraId="2B3724A2"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60.4%</w:t>
            </w:r>
          </w:p>
        </w:tc>
        <w:tc>
          <w:tcPr>
            <w:tcW w:w="956" w:type="dxa"/>
            <w:tcBorders>
              <w:top w:val="nil"/>
              <w:left w:val="nil"/>
              <w:bottom w:val="single" w:sz="4" w:space="0" w:color="auto"/>
              <w:right w:val="single" w:sz="4" w:space="0" w:color="auto"/>
            </w:tcBorders>
            <w:noWrap/>
            <w:vAlign w:val="bottom"/>
            <w:hideMark/>
          </w:tcPr>
          <w:p w14:paraId="7D852F11" w14:textId="62B95B31"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796BA5AB"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38.3%</w:t>
            </w:r>
          </w:p>
        </w:tc>
        <w:tc>
          <w:tcPr>
            <w:tcW w:w="1642" w:type="dxa"/>
            <w:tcBorders>
              <w:top w:val="nil"/>
              <w:left w:val="nil"/>
              <w:bottom w:val="single" w:sz="4" w:space="0" w:color="auto"/>
              <w:right w:val="single" w:sz="4" w:space="0" w:color="auto"/>
            </w:tcBorders>
            <w:noWrap/>
            <w:vAlign w:val="bottom"/>
            <w:hideMark/>
          </w:tcPr>
          <w:p w14:paraId="31BF931F"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61.7%</w:t>
            </w:r>
          </w:p>
        </w:tc>
      </w:tr>
      <w:tr w:rsidR="001A75F7" w:rsidRPr="00891CBB" w14:paraId="63BAA369"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3611BB4A"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2016</w:t>
            </w:r>
          </w:p>
        </w:tc>
        <w:tc>
          <w:tcPr>
            <w:tcW w:w="858" w:type="dxa"/>
            <w:tcBorders>
              <w:top w:val="nil"/>
              <w:left w:val="nil"/>
              <w:bottom w:val="single" w:sz="4" w:space="0" w:color="auto"/>
              <w:right w:val="single" w:sz="4" w:space="0" w:color="auto"/>
            </w:tcBorders>
            <w:noWrap/>
            <w:vAlign w:val="bottom"/>
            <w:hideMark/>
          </w:tcPr>
          <w:p w14:paraId="614AD8FA"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5.4%</w:t>
            </w:r>
          </w:p>
        </w:tc>
        <w:tc>
          <w:tcPr>
            <w:tcW w:w="1966" w:type="dxa"/>
            <w:tcBorders>
              <w:top w:val="nil"/>
              <w:left w:val="nil"/>
              <w:bottom w:val="single" w:sz="4" w:space="0" w:color="auto"/>
              <w:right w:val="single" w:sz="4" w:space="0" w:color="auto"/>
            </w:tcBorders>
            <w:noWrap/>
            <w:vAlign w:val="bottom"/>
            <w:hideMark/>
          </w:tcPr>
          <w:p w14:paraId="0F72D986"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33.6%</w:t>
            </w:r>
          </w:p>
        </w:tc>
        <w:tc>
          <w:tcPr>
            <w:tcW w:w="1296" w:type="dxa"/>
            <w:tcBorders>
              <w:top w:val="nil"/>
              <w:left w:val="nil"/>
              <w:bottom w:val="single" w:sz="4" w:space="0" w:color="auto"/>
              <w:right w:val="single" w:sz="4" w:space="0" w:color="auto"/>
            </w:tcBorders>
            <w:noWrap/>
            <w:vAlign w:val="bottom"/>
            <w:hideMark/>
          </w:tcPr>
          <w:p w14:paraId="440F8FF8"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61.1%</w:t>
            </w:r>
          </w:p>
        </w:tc>
        <w:tc>
          <w:tcPr>
            <w:tcW w:w="956" w:type="dxa"/>
            <w:tcBorders>
              <w:top w:val="nil"/>
              <w:left w:val="nil"/>
              <w:bottom w:val="single" w:sz="4" w:space="0" w:color="auto"/>
              <w:right w:val="single" w:sz="4" w:space="0" w:color="auto"/>
            </w:tcBorders>
            <w:noWrap/>
            <w:vAlign w:val="bottom"/>
            <w:hideMark/>
          </w:tcPr>
          <w:p w14:paraId="2412EFF7" w14:textId="4175E068"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058CAC87"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29.0%</w:t>
            </w:r>
          </w:p>
        </w:tc>
        <w:tc>
          <w:tcPr>
            <w:tcW w:w="1642" w:type="dxa"/>
            <w:tcBorders>
              <w:top w:val="nil"/>
              <w:left w:val="nil"/>
              <w:bottom w:val="single" w:sz="4" w:space="0" w:color="auto"/>
              <w:right w:val="single" w:sz="4" w:space="0" w:color="auto"/>
            </w:tcBorders>
            <w:noWrap/>
            <w:vAlign w:val="bottom"/>
            <w:hideMark/>
          </w:tcPr>
          <w:p w14:paraId="00C369B3"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71.0%</w:t>
            </w:r>
          </w:p>
        </w:tc>
      </w:tr>
      <w:tr w:rsidR="001A75F7" w:rsidRPr="00891CBB" w14:paraId="2E345E05"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0A1BD382"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2017</w:t>
            </w:r>
          </w:p>
        </w:tc>
        <w:tc>
          <w:tcPr>
            <w:tcW w:w="858" w:type="dxa"/>
            <w:tcBorders>
              <w:top w:val="nil"/>
              <w:left w:val="nil"/>
              <w:bottom w:val="single" w:sz="4" w:space="0" w:color="auto"/>
              <w:right w:val="single" w:sz="4" w:space="0" w:color="auto"/>
            </w:tcBorders>
            <w:noWrap/>
            <w:vAlign w:val="bottom"/>
            <w:hideMark/>
          </w:tcPr>
          <w:p w14:paraId="688DD16E"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1.8%</w:t>
            </w:r>
          </w:p>
        </w:tc>
        <w:tc>
          <w:tcPr>
            <w:tcW w:w="1966" w:type="dxa"/>
            <w:tcBorders>
              <w:top w:val="nil"/>
              <w:left w:val="nil"/>
              <w:bottom w:val="single" w:sz="4" w:space="0" w:color="auto"/>
              <w:right w:val="single" w:sz="4" w:space="0" w:color="auto"/>
            </w:tcBorders>
            <w:noWrap/>
            <w:vAlign w:val="bottom"/>
            <w:hideMark/>
          </w:tcPr>
          <w:p w14:paraId="23A85370"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24.4%</w:t>
            </w:r>
          </w:p>
        </w:tc>
        <w:tc>
          <w:tcPr>
            <w:tcW w:w="1296" w:type="dxa"/>
            <w:tcBorders>
              <w:top w:val="nil"/>
              <w:left w:val="nil"/>
              <w:bottom w:val="single" w:sz="4" w:space="0" w:color="auto"/>
              <w:right w:val="single" w:sz="4" w:space="0" w:color="auto"/>
            </w:tcBorders>
            <w:noWrap/>
            <w:vAlign w:val="bottom"/>
            <w:hideMark/>
          </w:tcPr>
          <w:p w14:paraId="0B95A770"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73.9%</w:t>
            </w:r>
          </w:p>
        </w:tc>
        <w:tc>
          <w:tcPr>
            <w:tcW w:w="956" w:type="dxa"/>
            <w:tcBorders>
              <w:top w:val="nil"/>
              <w:left w:val="nil"/>
              <w:bottom w:val="single" w:sz="4" w:space="0" w:color="auto"/>
              <w:right w:val="single" w:sz="4" w:space="0" w:color="auto"/>
            </w:tcBorders>
            <w:noWrap/>
            <w:vAlign w:val="bottom"/>
            <w:hideMark/>
          </w:tcPr>
          <w:p w14:paraId="07452C90" w14:textId="1012247A"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03CB3E9F"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12.2%</w:t>
            </w:r>
          </w:p>
        </w:tc>
        <w:tc>
          <w:tcPr>
            <w:tcW w:w="1642" w:type="dxa"/>
            <w:tcBorders>
              <w:top w:val="nil"/>
              <w:left w:val="nil"/>
              <w:bottom w:val="single" w:sz="4" w:space="0" w:color="auto"/>
              <w:right w:val="single" w:sz="4" w:space="0" w:color="auto"/>
            </w:tcBorders>
            <w:noWrap/>
            <w:vAlign w:val="bottom"/>
            <w:hideMark/>
          </w:tcPr>
          <w:p w14:paraId="272E16FB"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87.8%</w:t>
            </w:r>
          </w:p>
        </w:tc>
      </w:tr>
      <w:tr w:rsidR="001A75F7" w:rsidRPr="00891CBB" w14:paraId="5783215D"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2A07C08E"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2018</w:t>
            </w:r>
          </w:p>
        </w:tc>
        <w:tc>
          <w:tcPr>
            <w:tcW w:w="858" w:type="dxa"/>
            <w:tcBorders>
              <w:top w:val="nil"/>
              <w:left w:val="nil"/>
              <w:bottom w:val="single" w:sz="4" w:space="0" w:color="auto"/>
              <w:right w:val="single" w:sz="4" w:space="0" w:color="auto"/>
            </w:tcBorders>
            <w:noWrap/>
            <w:vAlign w:val="bottom"/>
            <w:hideMark/>
          </w:tcPr>
          <w:p w14:paraId="0672E028"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2.2%</w:t>
            </w:r>
          </w:p>
        </w:tc>
        <w:tc>
          <w:tcPr>
            <w:tcW w:w="1966" w:type="dxa"/>
            <w:tcBorders>
              <w:top w:val="nil"/>
              <w:left w:val="nil"/>
              <w:bottom w:val="single" w:sz="4" w:space="0" w:color="auto"/>
              <w:right w:val="single" w:sz="4" w:space="0" w:color="auto"/>
            </w:tcBorders>
            <w:noWrap/>
            <w:vAlign w:val="bottom"/>
            <w:hideMark/>
          </w:tcPr>
          <w:p w14:paraId="000E0679"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23.5%</w:t>
            </w:r>
          </w:p>
        </w:tc>
        <w:tc>
          <w:tcPr>
            <w:tcW w:w="1296" w:type="dxa"/>
            <w:tcBorders>
              <w:top w:val="nil"/>
              <w:left w:val="nil"/>
              <w:bottom w:val="single" w:sz="4" w:space="0" w:color="auto"/>
              <w:right w:val="single" w:sz="4" w:space="0" w:color="auto"/>
            </w:tcBorders>
            <w:noWrap/>
            <w:vAlign w:val="bottom"/>
            <w:hideMark/>
          </w:tcPr>
          <w:p w14:paraId="351AFC51"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74.3%</w:t>
            </w:r>
          </w:p>
        </w:tc>
        <w:tc>
          <w:tcPr>
            <w:tcW w:w="956" w:type="dxa"/>
            <w:tcBorders>
              <w:top w:val="nil"/>
              <w:left w:val="nil"/>
              <w:bottom w:val="single" w:sz="4" w:space="0" w:color="auto"/>
              <w:right w:val="single" w:sz="4" w:space="0" w:color="auto"/>
            </w:tcBorders>
            <w:noWrap/>
            <w:vAlign w:val="bottom"/>
            <w:hideMark/>
          </w:tcPr>
          <w:p w14:paraId="674E7748" w14:textId="7C878A90"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4842F40D"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11.7%</w:t>
            </w:r>
          </w:p>
        </w:tc>
        <w:tc>
          <w:tcPr>
            <w:tcW w:w="1642" w:type="dxa"/>
            <w:tcBorders>
              <w:top w:val="nil"/>
              <w:left w:val="nil"/>
              <w:bottom w:val="single" w:sz="4" w:space="0" w:color="auto"/>
              <w:right w:val="single" w:sz="4" w:space="0" w:color="auto"/>
            </w:tcBorders>
            <w:noWrap/>
            <w:vAlign w:val="bottom"/>
            <w:hideMark/>
          </w:tcPr>
          <w:p w14:paraId="4B9969F8"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88.3%</w:t>
            </w:r>
          </w:p>
        </w:tc>
      </w:tr>
      <w:tr w:rsidR="001A75F7" w:rsidRPr="00891CBB" w14:paraId="3181813A"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5CA3D78E"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2019</w:t>
            </w:r>
          </w:p>
        </w:tc>
        <w:tc>
          <w:tcPr>
            <w:tcW w:w="858" w:type="dxa"/>
            <w:tcBorders>
              <w:top w:val="nil"/>
              <w:left w:val="nil"/>
              <w:bottom w:val="single" w:sz="4" w:space="0" w:color="auto"/>
              <w:right w:val="single" w:sz="4" w:space="0" w:color="auto"/>
            </w:tcBorders>
            <w:noWrap/>
            <w:vAlign w:val="bottom"/>
            <w:hideMark/>
          </w:tcPr>
          <w:p w14:paraId="14915C92"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1.1%</w:t>
            </w:r>
          </w:p>
        </w:tc>
        <w:tc>
          <w:tcPr>
            <w:tcW w:w="1966" w:type="dxa"/>
            <w:tcBorders>
              <w:top w:val="nil"/>
              <w:left w:val="nil"/>
              <w:bottom w:val="single" w:sz="4" w:space="0" w:color="auto"/>
              <w:right w:val="single" w:sz="4" w:space="0" w:color="auto"/>
            </w:tcBorders>
            <w:noWrap/>
            <w:vAlign w:val="bottom"/>
            <w:hideMark/>
          </w:tcPr>
          <w:p w14:paraId="27991BCA"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22.5%</w:t>
            </w:r>
          </w:p>
        </w:tc>
        <w:tc>
          <w:tcPr>
            <w:tcW w:w="1296" w:type="dxa"/>
            <w:tcBorders>
              <w:top w:val="nil"/>
              <w:left w:val="nil"/>
              <w:bottom w:val="single" w:sz="4" w:space="0" w:color="auto"/>
              <w:right w:val="single" w:sz="4" w:space="0" w:color="auto"/>
            </w:tcBorders>
            <w:noWrap/>
            <w:vAlign w:val="bottom"/>
            <w:hideMark/>
          </w:tcPr>
          <w:p w14:paraId="37CBEA8D"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76.4%</w:t>
            </w:r>
          </w:p>
        </w:tc>
        <w:tc>
          <w:tcPr>
            <w:tcW w:w="956" w:type="dxa"/>
            <w:tcBorders>
              <w:top w:val="nil"/>
              <w:left w:val="nil"/>
              <w:bottom w:val="single" w:sz="4" w:space="0" w:color="auto"/>
              <w:right w:val="single" w:sz="4" w:space="0" w:color="auto"/>
            </w:tcBorders>
            <w:noWrap/>
            <w:vAlign w:val="bottom"/>
            <w:hideMark/>
          </w:tcPr>
          <w:p w14:paraId="24F1F8B8" w14:textId="36089C66"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71DF67FC"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17.3%</w:t>
            </w:r>
          </w:p>
        </w:tc>
        <w:tc>
          <w:tcPr>
            <w:tcW w:w="1642" w:type="dxa"/>
            <w:tcBorders>
              <w:top w:val="nil"/>
              <w:left w:val="nil"/>
              <w:bottom w:val="single" w:sz="4" w:space="0" w:color="auto"/>
              <w:right w:val="single" w:sz="4" w:space="0" w:color="auto"/>
            </w:tcBorders>
            <w:noWrap/>
            <w:vAlign w:val="bottom"/>
            <w:hideMark/>
          </w:tcPr>
          <w:p w14:paraId="22A510C8"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82.7%</w:t>
            </w:r>
          </w:p>
        </w:tc>
      </w:tr>
      <w:tr w:rsidR="001A75F7" w:rsidRPr="00891CBB" w14:paraId="0FB59010" w14:textId="77777777" w:rsidTr="00D94E46">
        <w:trPr>
          <w:trHeight w:val="255"/>
        </w:trPr>
        <w:tc>
          <w:tcPr>
            <w:tcW w:w="1103" w:type="dxa"/>
            <w:tcBorders>
              <w:top w:val="nil"/>
              <w:left w:val="single" w:sz="4" w:space="0" w:color="auto"/>
              <w:bottom w:val="single" w:sz="4" w:space="0" w:color="auto"/>
              <w:right w:val="single" w:sz="4" w:space="0" w:color="auto"/>
            </w:tcBorders>
            <w:noWrap/>
            <w:vAlign w:val="bottom"/>
            <w:hideMark/>
          </w:tcPr>
          <w:p w14:paraId="50476D3B" w14:textId="77777777" w:rsidR="001A75F7" w:rsidRPr="00891CBB" w:rsidRDefault="001A75F7"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2020</w:t>
            </w:r>
          </w:p>
        </w:tc>
        <w:tc>
          <w:tcPr>
            <w:tcW w:w="858" w:type="dxa"/>
            <w:tcBorders>
              <w:top w:val="nil"/>
              <w:left w:val="nil"/>
              <w:bottom w:val="single" w:sz="4" w:space="0" w:color="auto"/>
              <w:right w:val="single" w:sz="4" w:space="0" w:color="auto"/>
            </w:tcBorders>
            <w:noWrap/>
            <w:vAlign w:val="bottom"/>
            <w:hideMark/>
          </w:tcPr>
          <w:p w14:paraId="5F363E22"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3.5%</w:t>
            </w:r>
          </w:p>
        </w:tc>
        <w:tc>
          <w:tcPr>
            <w:tcW w:w="1966" w:type="dxa"/>
            <w:tcBorders>
              <w:top w:val="nil"/>
              <w:left w:val="nil"/>
              <w:bottom w:val="single" w:sz="4" w:space="0" w:color="auto"/>
              <w:right w:val="single" w:sz="4" w:space="0" w:color="auto"/>
            </w:tcBorders>
            <w:noWrap/>
            <w:vAlign w:val="bottom"/>
            <w:hideMark/>
          </w:tcPr>
          <w:p w14:paraId="3EFA860D"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29.1%</w:t>
            </w:r>
          </w:p>
        </w:tc>
        <w:tc>
          <w:tcPr>
            <w:tcW w:w="1296" w:type="dxa"/>
            <w:tcBorders>
              <w:top w:val="nil"/>
              <w:left w:val="nil"/>
              <w:bottom w:val="single" w:sz="4" w:space="0" w:color="auto"/>
              <w:right w:val="single" w:sz="4" w:space="0" w:color="auto"/>
            </w:tcBorders>
            <w:noWrap/>
            <w:vAlign w:val="bottom"/>
            <w:hideMark/>
          </w:tcPr>
          <w:p w14:paraId="2BF5898D"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67.4%</w:t>
            </w:r>
          </w:p>
        </w:tc>
        <w:tc>
          <w:tcPr>
            <w:tcW w:w="956" w:type="dxa"/>
            <w:tcBorders>
              <w:top w:val="nil"/>
              <w:left w:val="nil"/>
              <w:bottom w:val="single" w:sz="4" w:space="0" w:color="auto"/>
              <w:right w:val="single" w:sz="4" w:space="0" w:color="auto"/>
            </w:tcBorders>
            <w:noWrap/>
            <w:vAlign w:val="bottom"/>
            <w:hideMark/>
          </w:tcPr>
          <w:p w14:paraId="05AA9E20" w14:textId="68A67719" w:rsidR="001A75F7" w:rsidRPr="00891CBB" w:rsidRDefault="00DC7319"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n/a</w:t>
            </w:r>
          </w:p>
        </w:tc>
        <w:tc>
          <w:tcPr>
            <w:tcW w:w="1955" w:type="dxa"/>
            <w:tcBorders>
              <w:top w:val="nil"/>
              <w:left w:val="nil"/>
              <w:bottom w:val="single" w:sz="4" w:space="0" w:color="auto"/>
              <w:right w:val="single" w:sz="4" w:space="0" w:color="auto"/>
            </w:tcBorders>
            <w:noWrap/>
            <w:vAlign w:val="bottom"/>
            <w:hideMark/>
          </w:tcPr>
          <w:p w14:paraId="7D80D211"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23.5%</w:t>
            </w:r>
          </w:p>
        </w:tc>
        <w:tc>
          <w:tcPr>
            <w:tcW w:w="1642" w:type="dxa"/>
            <w:tcBorders>
              <w:top w:val="nil"/>
              <w:left w:val="nil"/>
              <w:bottom w:val="single" w:sz="4" w:space="0" w:color="auto"/>
              <w:right w:val="single" w:sz="4" w:space="0" w:color="auto"/>
            </w:tcBorders>
            <w:noWrap/>
            <w:vAlign w:val="bottom"/>
            <w:hideMark/>
          </w:tcPr>
          <w:p w14:paraId="5207C8F7" w14:textId="77777777" w:rsidR="001A75F7" w:rsidRPr="00891CBB" w:rsidRDefault="001A75F7" w:rsidP="00891CBB">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76.5%</w:t>
            </w:r>
          </w:p>
        </w:tc>
      </w:tr>
    </w:tbl>
    <w:p w14:paraId="594F424C" w14:textId="2E82FE57" w:rsidR="00A44CA2" w:rsidRDefault="00DF309A" w:rsidP="000A3F4F">
      <w:pPr>
        <w:spacing w:afterLines="40" w:after="96" w:line="240" w:lineRule="auto"/>
        <w:rPr>
          <w:b/>
          <w:bCs/>
          <w:sz w:val="20"/>
          <w:szCs w:val="20"/>
        </w:rPr>
      </w:pPr>
      <w:r w:rsidRPr="00DF309A">
        <w:rPr>
          <w:b/>
          <w:bCs/>
          <w:sz w:val="20"/>
          <w:szCs w:val="20"/>
        </w:rPr>
        <w:t>Note:</w:t>
      </w:r>
      <w:r>
        <w:t xml:space="preserve"> </w:t>
      </w:r>
      <w:r w:rsidRPr="00891CBB">
        <w:rPr>
          <w:sz w:val="20"/>
          <w:szCs w:val="20"/>
        </w:rPr>
        <w:t>The quarterly rates are listed are total subsoil rates.</w:t>
      </w:r>
    </w:p>
    <w:p w14:paraId="77CA91AA" w14:textId="77777777" w:rsidR="001A2450" w:rsidRDefault="001A2450" w:rsidP="000A3F4F">
      <w:pPr>
        <w:spacing w:afterLines="40" w:after="96" w:line="240" w:lineRule="auto"/>
      </w:pPr>
    </w:p>
    <w:p w14:paraId="55C66DF7" w14:textId="77777777" w:rsidR="00891CBB" w:rsidRDefault="001523AF" w:rsidP="00891CBB">
      <w:pPr>
        <w:spacing w:after="0" w:line="240" w:lineRule="auto"/>
        <w:rPr>
          <w:b/>
          <w:bCs/>
          <w:sz w:val="20"/>
          <w:szCs w:val="20"/>
        </w:rPr>
      </w:pPr>
      <w:r>
        <w:rPr>
          <w:b/>
          <w:bCs/>
          <w:sz w:val="20"/>
          <w:szCs w:val="20"/>
        </w:rPr>
        <w:t>Table 1</w:t>
      </w:r>
      <w:r w:rsidR="00CE0B1D">
        <w:rPr>
          <w:b/>
          <w:bCs/>
          <w:sz w:val="20"/>
          <w:szCs w:val="20"/>
        </w:rPr>
        <w:t>1</w:t>
      </w:r>
    </w:p>
    <w:p w14:paraId="4CCDA227" w14:textId="70B76228" w:rsidR="001523AF" w:rsidRDefault="001523AF" w:rsidP="00891CBB">
      <w:pPr>
        <w:spacing w:after="0" w:line="240" w:lineRule="auto"/>
        <w:rPr>
          <w:b/>
          <w:bCs/>
          <w:sz w:val="20"/>
          <w:szCs w:val="20"/>
        </w:rPr>
      </w:pPr>
      <w:r>
        <w:rPr>
          <w:b/>
          <w:bCs/>
          <w:sz w:val="20"/>
          <w:szCs w:val="20"/>
        </w:rPr>
        <w:t xml:space="preserve">Allocation of crude bitumen </w:t>
      </w:r>
      <w:r w:rsidR="00C35457">
        <w:rPr>
          <w:b/>
          <w:bCs/>
          <w:sz w:val="20"/>
          <w:szCs w:val="20"/>
        </w:rPr>
        <w:t>present value</w:t>
      </w:r>
      <w:r w:rsidR="0029510D">
        <w:rPr>
          <w:b/>
          <w:bCs/>
          <w:sz w:val="20"/>
          <w:szCs w:val="20"/>
        </w:rPr>
        <w:t xml:space="preserve"> on net price I</w:t>
      </w:r>
      <w:r w:rsidR="00C35457">
        <w:rPr>
          <w:b/>
          <w:bCs/>
          <w:sz w:val="20"/>
          <w:szCs w:val="20"/>
        </w:rPr>
        <w:t>,</w:t>
      </w:r>
      <w:r>
        <w:rPr>
          <w:b/>
          <w:bCs/>
          <w:sz w:val="20"/>
          <w:szCs w:val="20"/>
        </w:rPr>
        <w:t xml:space="preserve"> by economic ownership</w:t>
      </w:r>
      <w:r w:rsidR="00C35457">
        <w:rPr>
          <w:b/>
          <w:bCs/>
          <w:sz w:val="20"/>
          <w:szCs w:val="20"/>
        </w:rPr>
        <w:t>,</w:t>
      </w:r>
      <w:r>
        <w:rPr>
          <w:b/>
          <w:bCs/>
          <w:sz w:val="20"/>
          <w:szCs w:val="20"/>
        </w:rPr>
        <w:t xml:space="preserve"> using Alberta royalty revenue data</w:t>
      </w:r>
      <w:r w:rsidR="00C35457">
        <w:rPr>
          <w:b/>
          <w:bCs/>
          <w:sz w:val="20"/>
          <w:szCs w:val="20"/>
        </w:rPr>
        <w:t>, 2010 to 2020</w:t>
      </w:r>
    </w:p>
    <w:tbl>
      <w:tblPr>
        <w:tblW w:w="8656" w:type="dxa"/>
        <w:tblInd w:w="-10" w:type="dxa"/>
        <w:tblLook w:val="04A0" w:firstRow="1" w:lastRow="0" w:firstColumn="1" w:lastColumn="0" w:noHBand="0" w:noVBand="1"/>
      </w:tblPr>
      <w:tblGrid>
        <w:gridCol w:w="1240"/>
        <w:gridCol w:w="1980"/>
        <w:gridCol w:w="1463"/>
        <w:gridCol w:w="1985"/>
        <w:gridCol w:w="1988"/>
      </w:tblGrid>
      <w:tr w:rsidR="001523AF" w:rsidRPr="00891CBB" w14:paraId="6743E976" w14:textId="77777777" w:rsidTr="00AF1F28">
        <w:trPr>
          <w:trHeight w:val="648"/>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0261C5B" w14:textId="77777777" w:rsidR="001523AF" w:rsidRPr="00891CBB" w:rsidRDefault="001523AF" w:rsidP="001523AF">
            <w:pPr>
              <w:spacing w:after="0" w:line="240" w:lineRule="auto"/>
              <w:jc w:val="center"/>
              <w:rPr>
                <w:rFonts w:eastAsia="Times New Roman" w:cstheme="minorHAnsi"/>
                <w:sz w:val="20"/>
                <w:szCs w:val="20"/>
                <w:lang w:eastAsia="en-CA"/>
              </w:rPr>
            </w:pPr>
            <w:r w:rsidRPr="00891CBB">
              <w:rPr>
                <w:rFonts w:eastAsia="Times New Roman" w:cstheme="minorHAnsi"/>
                <w:sz w:val="20"/>
                <w:szCs w:val="20"/>
                <w:lang w:eastAsia="en-CA"/>
              </w:rPr>
              <w:t> </w:t>
            </w:r>
          </w:p>
        </w:tc>
        <w:tc>
          <w:tcPr>
            <w:tcW w:w="1980" w:type="dxa"/>
            <w:tcBorders>
              <w:top w:val="single" w:sz="4" w:space="0" w:color="auto"/>
              <w:left w:val="nil"/>
              <w:bottom w:val="single" w:sz="4" w:space="0" w:color="auto"/>
              <w:right w:val="single" w:sz="4" w:space="0" w:color="auto"/>
            </w:tcBorders>
            <w:vAlign w:val="center"/>
            <w:hideMark/>
          </w:tcPr>
          <w:p w14:paraId="611AB27D" w14:textId="5F80674C" w:rsidR="001523AF" w:rsidRPr="00891CBB" w:rsidRDefault="001523AF" w:rsidP="001523AF">
            <w:pPr>
              <w:spacing w:after="0" w:line="240" w:lineRule="auto"/>
              <w:jc w:val="center"/>
              <w:rPr>
                <w:rFonts w:eastAsia="Times New Roman" w:cstheme="minorHAnsi"/>
                <w:b/>
                <w:bCs/>
                <w:sz w:val="20"/>
                <w:szCs w:val="20"/>
                <w:lang w:eastAsia="en-CA"/>
              </w:rPr>
            </w:pPr>
            <w:r w:rsidRPr="00891CBB">
              <w:rPr>
                <w:rFonts w:eastAsia="Times New Roman" w:cstheme="minorHAnsi"/>
                <w:b/>
                <w:bCs/>
                <w:sz w:val="20"/>
                <w:szCs w:val="20"/>
                <w:lang w:eastAsia="en-CA"/>
              </w:rPr>
              <w:t xml:space="preserve">Present </w:t>
            </w:r>
            <w:r w:rsidR="001064C0">
              <w:rPr>
                <w:rFonts w:eastAsia="Times New Roman" w:cstheme="minorHAnsi"/>
                <w:b/>
                <w:bCs/>
                <w:sz w:val="20"/>
                <w:szCs w:val="20"/>
                <w:lang w:eastAsia="en-CA"/>
              </w:rPr>
              <w:t>v</w:t>
            </w:r>
            <w:r w:rsidRPr="00891CBB">
              <w:rPr>
                <w:rFonts w:eastAsia="Times New Roman" w:cstheme="minorHAnsi"/>
                <w:b/>
                <w:bCs/>
                <w:sz w:val="20"/>
                <w:szCs w:val="20"/>
                <w:lang w:eastAsia="en-CA"/>
              </w:rPr>
              <w:t xml:space="preserve">alue (on </w:t>
            </w:r>
            <w:r w:rsidR="001064C0">
              <w:rPr>
                <w:rFonts w:eastAsia="Times New Roman" w:cstheme="minorHAnsi"/>
                <w:b/>
                <w:bCs/>
                <w:sz w:val="20"/>
                <w:szCs w:val="20"/>
                <w:lang w:eastAsia="en-CA"/>
              </w:rPr>
              <w:t>n</w:t>
            </w:r>
            <w:r w:rsidRPr="00891CBB">
              <w:rPr>
                <w:rFonts w:eastAsia="Times New Roman" w:cstheme="minorHAnsi"/>
                <w:b/>
                <w:bCs/>
                <w:sz w:val="20"/>
                <w:szCs w:val="20"/>
                <w:lang w:eastAsia="en-CA"/>
              </w:rPr>
              <w:t xml:space="preserve">et </w:t>
            </w:r>
            <w:r w:rsidR="001064C0">
              <w:rPr>
                <w:rFonts w:eastAsia="Times New Roman" w:cstheme="minorHAnsi"/>
                <w:b/>
                <w:bCs/>
                <w:sz w:val="20"/>
                <w:szCs w:val="20"/>
                <w:lang w:eastAsia="en-CA"/>
              </w:rPr>
              <w:t>p</w:t>
            </w:r>
            <w:r w:rsidRPr="00891CBB">
              <w:rPr>
                <w:rFonts w:eastAsia="Times New Roman" w:cstheme="minorHAnsi"/>
                <w:b/>
                <w:bCs/>
                <w:sz w:val="20"/>
                <w:szCs w:val="20"/>
                <w:lang w:eastAsia="en-CA"/>
              </w:rPr>
              <w:t>rice I</w:t>
            </w:r>
            <w:r w:rsidR="00D62A68" w:rsidRPr="00891CBB">
              <w:rPr>
                <w:rFonts w:eastAsia="Times New Roman" w:cstheme="minorHAnsi"/>
                <w:b/>
                <w:bCs/>
                <w:sz w:val="20"/>
                <w:szCs w:val="20"/>
                <w:lang w:eastAsia="en-CA"/>
              </w:rPr>
              <w:fldChar w:fldCharType="begin"/>
            </w:r>
            <w:r w:rsidR="00D62A68" w:rsidRPr="00891CBB">
              <w:rPr>
                <w:rFonts w:eastAsia="Times New Roman" w:cstheme="minorHAnsi"/>
                <w:b/>
                <w:bCs/>
                <w:sz w:val="20"/>
                <w:szCs w:val="20"/>
                <w:lang w:eastAsia="en-CA"/>
              </w:rPr>
              <w:instrText xml:space="preserve"> NOTEREF _Ref234931629 \f \h </w:instrText>
            </w:r>
            <w:r w:rsidR="00891CBB">
              <w:rPr>
                <w:rFonts w:eastAsia="Times New Roman" w:cstheme="minorHAnsi"/>
                <w:b/>
                <w:bCs/>
                <w:sz w:val="20"/>
                <w:szCs w:val="20"/>
                <w:lang w:eastAsia="en-CA"/>
              </w:rPr>
              <w:instrText xml:space="preserve"> \* MERGEFORMAT </w:instrText>
            </w:r>
            <w:r w:rsidR="00D62A68" w:rsidRPr="00891CBB">
              <w:rPr>
                <w:rFonts w:eastAsia="Times New Roman" w:cstheme="minorHAnsi"/>
                <w:b/>
                <w:bCs/>
                <w:sz w:val="20"/>
                <w:szCs w:val="20"/>
                <w:lang w:eastAsia="en-CA"/>
              </w:rPr>
            </w:r>
            <w:r w:rsidR="00D62A68" w:rsidRPr="00891CBB">
              <w:rPr>
                <w:rFonts w:eastAsia="Times New Roman" w:cstheme="minorHAnsi"/>
                <w:b/>
                <w:bCs/>
                <w:sz w:val="20"/>
                <w:szCs w:val="20"/>
                <w:lang w:eastAsia="en-CA"/>
              </w:rPr>
              <w:fldChar w:fldCharType="separate"/>
            </w:r>
            <w:r w:rsidR="00D62A68" w:rsidRPr="00891CBB">
              <w:rPr>
                <w:rStyle w:val="FootnoteReference"/>
                <w:rFonts w:cstheme="minorHAnsi"/>
                <w:lang w:eastAsia="en-CA"/>
              </w:rPr>
              <w:t>9</w:t>
            </w:r>
            <w:r w:rsidR="00D62A68" w:rsidRPr="00891CBB">
              <w:rPr>
                <w:rFonts w:eastAsia="Times New Roman" w:cstheme="minorHAnsi"/>
                <w:b/>
                <w:bCs/>
                <w:sz w:val="20"/>
                <w:szCs w:val="20"/>
                <w:lang w:eastAsia="en-CA"/>
              </w:rPr>
              <w:fldChar w:fldCharType="end"/>
            </w:r>
            <w:r w:rsidRPr="00891CBB">
              <w:rPr>
                <w:rFonts w:eastAsia="Times New Roman" w:cstheme="minorHAnsi"/>
                <w:b/>
                <w:bCs/>
                <w:sz w:val="20"/>
                <w:szCs w:val="20"/>
                <w:lang w:eastAsia="en-CA"/>
              </w:rPr>
              <w:t>)</w:t>
            </w:r>
          </w:p>
        </w:tc>
        <w:tc>
          <w:tcPr>
            <w:tcW w:w="5436" w:type="dxa"/>
            <w:gridSpan w:val="3"/>
            <w:tcBorders>
              <w:top w:val="single" w:sz="4" w:space="0" w:color="auto"/>
              <w:left w:val="nil"/>
              <w:bottom w:val="single" w:sz="4" w:space="0" w:color="auto"/>
              <w:right w:val="single" w:sz="4" w:space="0" w:color="auto"/>
            </w:tcBorders>
            <w:vAlign w:val="center"/>
            <w:hideMark/>
          </w:tcPr>
          <w:p w14:paraId="583E40AC" w14:textId="15263E99" w:rsidR="001523AF" w:rsidRPr="00891CBB" w:rsidRDefault="001523AF" w:rsidP="001523AF">
            <w:pPr>
              <w:spacing w:after="0" w:line="240" w:lineRule="auto"/>
              <w:jc w:val="center"/>
              <w:rPr>
                <w:rFonts w:eastAsia="Times New Roman" w:cstheme="minorHAnsi"/>
                <w:b/>
                <w:bCs/>
                <w:sz w:val="20"/>
                <w:szCs w:val="20"/>
                <w:lang w:eastAsia="en-CA"/>
              </w:rPr>
            </w:pPr>
            <w:r w:rsidRPr="00891CBB">
              <w:rPr>
                <w:rFonts w:eastAsia="Times New Roman" w:cstheme="minorHAnsi"/>
                <w:b/>
                <w:bCs/>
                <w:sz w:val="20"/>
                <w:szCs w:val="20"/>
                <w:lang w:eastAsia="en-CA"/>
              </w:rPr>
              <w:t xml:space="preserve">Split ownership of </w:t>
            </w:r>
            <w:r w:rsidR="00891CBB">
              <w:rPr>
                <w:rFonts w:eastAsia="Times New Roman" w:cstheme="minorHAnsi"/>
                <w:b/>
                <w:bCs/>
                <w:sz w:val="20"/>
                <w:szCs w:val="20"/>
                <w:lang w:eastAsia="en-CA"/>
              </w:rPr>
              <w:t>value</w:t>
            </w:r>
            <w:r w:rsidRPr="00891CBB">
              <w:rPr>
                <w:rFonts w:eastAsia="Times New Roman" w:cstheme="minorHAnsi"/>
                <w:b/>
                <w:bCs/>
                <w:sz w:val="20"/>
                <w:szCs w:val="20"/>
                <w:lang w:eastAsia="en-CA"/>
              </w:rPr>
              <w:t xml:space="preserve"> </w:t>
            </w:r>
          </w:p>
        </w:tc>
      </w:tr>
      <w:tr w:rsidR="001523AF" w:rsidRPr="00891CBB" w14:paraId="3EB9F332"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3360520C" w14:textId="4AE00809" w:rsidR="001523AF" w:rsidRPr="00891CBB" w:rsidRDefault="001523AF" w:rsidP="001523AF">
            <w:pPr>
              <w:spacing w:after="0" w:line="240" w:lineRule="auto"/>
              <w:rPr>
                <w:rFonts w:eastAsia="Times New Roman" w:cstheme="minorHAnsi"/>
                <w:b/>
                <w:bCs/>
                <w:sz w:val="20"/>
                <w:szCs w:val="20"/>
                <w:lang w:eastAsia="en-CA"/>
              </w:rPr>
            </w:pPr>
            <w:r w:rsidRPr="00891CBB">
              <w:rPr>
                <w:rFonts w:eastAsia="Times New Roman" w:cstheme="minorHAnsi"/>
                <w:i/>
                <w:iCs/>
                <w:sz w:val="20"/>
                <w:szCs w:val="20"/>
                <w:lang w:eastAsia="en-CA"/>
              </w:rPr>
              <w:t> </w:t>
            </w:r>
            <w:r w:rsidR="00891CBB" w:rsidRPr="00891CBB">
              <w:rPr>
                <w:rFonts w:eastAsia="Times New Roman" w:cstheme="minorHAnsi"/>
                <w:b/>
                <w:bCs/>
                <w:sz w:val="20"/>
                <w:szCs w:val="20"/>
                <w:lang w:eastAsia="en-CA"/>
              </w:rPr>
              <w:t>Year</w:t>
            </w:r>
          </w:p>
        </w:tc>
        <w:tc>
          <w:tcPr>
            <w:tcW w:w="1980" w:type="dxa"/>
            <w:tcBorders>
              <w:top w:val="nil"/>
              <w:left w:val="nil"/>
              <w:bottom w:val="single" w:sz="4" w:space="0" w:color="auto"/>
              <w:right w:val="single" w:sz="4" w:space="0" w:color="auto"/>
            </w:tcBorders>
            <w:noWrap/>
            <w:vAlign w:val="bottom"/>
            <w:hideMark/>
          </w:tcPr>
          <w:p w14:paraId="11386BB5" w14:textId="77777777" w:rsidR="001523AF" w:rsidRPr="00891CBB" w:rsidRDefault="001523AF" w:rsidP="001523AF">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 </w:t>
            </w:r>
          </w:p>
        </w:tc>
        <w:tc>
          <w:tcPr>
            <w:tcW w:w="1463" w:type="dxa"/>
            <w:tcBorders>
              <w:top w:val="nil"/>
              <w:left w:val="nil"/>
              <w:bottom w:val="single" w:sz="4" w:space="0" w:color="auto"/>
              <w:right w:val="single" w:sz="4" w:space="0" w:color="auto"/>
            </w:tcBorders>
            <w:noWrap/>
            <w:vAlign w:val="bottom"/>
            <w:hideMark/>
          </w:tcPr>
          <w:p w14:paraId="3C88ADF6" w14:textId="390BCB9D" w:rsidR="001523AF" w:rsidRPr="00891CBB" w:rsidRDefault="001523AF" w:rsidP="00891CBB">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Federal</w:t>
            </w:r>
          </w:p>
        </w:tc>
        <w:tc>
          <w:tcPr>
            <w:tcW w:w="1985" w:type="dxa"/>
            <w:tcBorders>
              <w:top w:val="nil"/>
              <w:left w:val="nil"/>
              <w:bottom w:val="single" w:sz="4" w:space="0" w:color="auto"/>
              <w:right w:val="single" w:sz="4" w:space="0" w:color="auto"/>
            </w:tcBorders>
            <w:noWrap/>
            <w:vAlign w:val="bottom"/>
            <w:hideMark/>
          </w:tcPr>
          <w:p w14:paraId="62867A7A" w14:textId="193D3FA6" w:rsidR="001523AF" w:rsidRPr="00891CBB" w:rsidRDefault="001A13B9" w:rsidP="00891CBB">
            <w:pPr>
              <w:spacing w:after="0" w:line="240" w:lineRule="auto"/>
              <w:jc w:val="right"/>
              <w:rPr>
                <w:rFonts w:eastAsia="Times New Roman" w:cstheme="minorHAnsi"/>
                <w:b/>
                <w:bCs/>
                <w:sz w:val="20"/>
                <w:szCs w:val="20"/>
                <w:lang w:eastAsia="en-CA"/>
              </w:rPr>
            </w:pPr>
            <w:r w:rsidRPr="006357BC">
              <w:rPr>
                <w:rFonts w:eastAsia="Times New Roman" w:cstheme="minorHAnsi"/>
                <w:b/>
                <w:bCs/>
                <w:color w:val="000000"/>
                <w:sz w:val="20"/>
                <w:szCs w:val="20"/>
                <w:lang w:eastAsia="en-CA"/>
              </w:rPr>
              <w:t>Provincial/Territorial</w:t>
            </w:r>
          </w:p>
        </w:tc>
        <w:tc>
          <w:tcPr>
            <w:tcW w:w="1988" w:type="dxa"/>
            <w:tcBorders>
              <w:top w:val="nil"/>
              <w:left w:val="nil"/>
              <w:bottom w:val="single" w:sz="4" w:space="0" w:color="auto"/>
              <w:right w:val="single" w:sz="4" w:space="0" w:color="auto"/>
            </w:tcBorders>
            <w:noWrap/>
            <w:vAlign w:val="bottom"/>
            <w:hideMark/>
          </w:tcPr>
          <w:p w14:paraId="5C15786E" w14:textId="39A98F30" w:rsidR="001523AF" w:rsidRPr="00891CBB" w:rsidRDefault="001523AF" w:rsidP="00891CBB">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Corporat</w:t>
            </w:r>
            <w:r w:rsidR="00D94E46">
              <w:rPr>
                <w:rFonts w:eastAsia="Times New Roman" w:cstheme="minorHAnsi"/>
                <w:b/>
                <w:bCs/>
                <w:sz w:val="20"/>
                <w:szCs w:val="20"/>
                <w:lang w:eastAsia="en-CA"/>
              </w:rPr>
              <w:t>ion</w:t>
            </w:r>
          </w:p>
        </w:tc>
      </w:tr>
      <w:tr w:rsidR="00891CBB" w:rsidRPr="00891CBB" w14:paraId="65D52C96" w14:textId="77777777" w:rsidTr="000E5C6A">
        <w:trPr>
          <w:trHeight w:val="315"/>
        </w:trPr>
        <w:tc>
          <w:tcPr>
            <w:tcW w:w="1240" w:type="dxa"/>
            <w:tcBorders>
              <w:top w:val="nil"/>
              <w:left w:val="single" w:sz="4" w:space="0" w:color="auto"/>
              <w:bottom w:val="single" w:sz="4" w:space="0" w:color="auto"/>
              <w:right w:val="single" w:sz="4" w:space="0" w:color="auto"/>
            </w:tcBorders>
            <w:noWrap/>
            <w:vAlign w:val="bottom"/>
            <w:hideMark/>
          </w:tcPr>
          <w:p w14:paraId="7EB399D4" w14:textId="77777777" w:rsidR="00891CBB" w:rsidRPr="00891CBB" w:rsidRDefault="00891CBB" w:rsidP="001523AF">
            <w:pPr>
              <w:spacing w:after="0" w:line="240" w:lineRule="auto"/>
              <w:rPr>
                <w:rFonts w:eastAsia="Times New Roman" w:cstheme="minorHAnsi"/>
                <w:i/>
                <w:iCs/>
                <w:sz w:val="20"/>
                <w:szCs w:val="20"/>
                <w:lang w:eastAsia="en-CA"/>
              </w:rPr>
            </w:pPr>
            <w:r w:rsidRPr="00891CBB">
              <w:rPr>
                <w:rFonts w:eastAsia="Times New Roman" w:cstheme="minorHAnsi"/>
                <w:i/>
                <w:iCs/>
                <w:sz w:val="20"/>
                <w:szCs w:val="20"/>
                <w:lang w:eastAsia="en-CA"/>
              </w:rPr>
              <w:t> </w:t>
            </w:r>
          </w:p>
        </w:tc>
        <w:tc>
          <w:tcPr>
            <w:tcW w:w="7416" w:type="dxa"/>
            <w:gridSpan w:val="4"/>
            <w:tcBorders>
              <w:top w:val="nil"/>
              <w:left w:val="nil"/>
              <w:bottom w:val="single" w:sz="4" w:space="0" w:color="auto"/>
              <w:right w:val="single" w:sz="4" w:space="0" w:color="auto"/>
            </w:tcBorders>
            <w:noWrap/>
            <w:vAlign w:val="bottom"/>
            <w:hideMark/>
          </w:tcPr>
          <w:p w14:paraId="737EE2F1" w14:textId="21E79176" w:rsidR="00891CBB" w:rsidRPr="00891CBB" w:rsidRDefault="00891CBB" w:rsidP="00C32D45">
            <w:pPr>
              <w:spacing w:after="0" w:line="240" w:lineRule="auto"/>
              <w:jc w:val="center"/>
              <w:rPr>
                <w:rFonts w:eastAsia="Times New Roman" w:cstheme="minorHAnsi"/>
                <w:sz w:val="20"/>
                <w:szCs w:val="20"/>
                <w:lang w:eastAsia="en-CA"/>
              </w:rPr>
            </w:pPr>
            <w:r w:rsidRPr="00891CBB">
              <w:rPr>
                <w:rFonts w:eastAsia="Times New Roman" w:cstheme="minorHAnsi"/>
                <w:sz w:val="20"/>
                <w:szCs w:val="20"/>
                <w:lang w:eastAsia="en-CA"/>
              </w:rPr>
              <w:t>millions of Canadian dollars</w:t>
            </w:r>
          </w:p>
        </w:tc>
      </w:tr>
      <w:tr w:rsidR="001523AF" w:rsidRPr="00891CBB" w14:paraId="0BEFF8E5"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3E1C6C34"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2010</w:t>
            </w:r>
          </w:p>
        </w:tc>
        <w:tc>
          <w:tcPr>
            <w:tcW w:w="1980" w:type="dxa"/>
            <w:tcBorders>
              <w:top w:val="nil"/>
              <w:left w:val="nil"/>
              <w:bottom w:val="single" w:sz="4" w:space="0" w:color="auto"/>
              <w:right w:val="single" w:sz="4" w:space="0" w:color="auto"/>
            </w:tcBorders>
            <w:noWrap/>
            <w:vAlign w:val="bottom"/>
            <w:hideMark/>
          </w:tcPr>
          <w:p w14:paraId="636FEE71"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321,662 </w:t>
            </w:r>
          </w:p>
        </w:tc>
        <w:tc>
          <w:tcPr>
            <w:tcW w:w="1463" w:type="dxa"/>
            <w:tcBorders>
              <w:top w:val="nil"/>
              <w:left w:val="nil"/>
              <w:bottom w:val="single" w:sz="4" w:space="0" w:color="auto"/>
              <w:right w:val="single" w:sz="4" w:space="0" w:color="auto"/>
            </w:tcBorders>
            <w:noWrap/>
            <w:vAlign w:val="bottom"/>
            <w:hideMark/>
          </w:tcPr>
          <w:p w14:paraId="581B3FF0"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2870C0B1"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76,562 </w:t>
            </w:r>
          </w:p>
        </w:tc>
        <w:tc>
          <w:tcPr>
            <w:tcW w:w="1988" w:type="dxa"/>
            <w:tcBorders>
              <w:top w:val="nil"/>
              <w:left w:val="nil"/>
              <w:bottom w:val="single" w:sz="4" w:space="0" w:color="auto"/>
              <w:right w:val="single" w:sz="4" w:space="0" w:color="auto"/>
            </w:tcBorders>
            <w:noWrap/>
            <w:vAlign w:val="bottom"/>
            <w:hideMark/>
          </w:tcPr>
          <w:p w14:paraId="089D0C5D"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245,100 </w:t>
            </w:r>
          </w:p>
        </w:tc>
      </w:tr>
      <w:tr w:rsidR="001523AF" w:rsidRPr="00891CBB" w14:paraId="7994A428"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102C2A02"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2011</w:t>
            </w:r>
          </w:p>
        </w:tc>
        <w:tc>
          <w:tcPr>
            <w:tcW w:w="1980" w:type="dxa"/>
            <w:tcBorders>
              <w:top w:val="nil"/>
              <w:left w:val="nil"/>
              <w:bottom w:val="single" w:sz="4" w:space="0" w:color="auto"/>
              <w:right w:val="single" w:sz="4" w:space="0" w:color="auto"/>
            </w:tcBorders>
            <w:noWrap/>
            <w:vAlign w:val="bottom"/>
            <w:hideMark/>
          </w:tcPr>
          <w:p w14:paraId="095446C7"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410,209 </w:t>
            </w:r>
          </w:p>
        </w:tc>
        <w:tc>
          <w:tcPr>
            <w:tcW w:w="1463" w:type="dxa"/>
            <w:tcBorders>
              <w:top w:val="nil"/>
              <w:left w:val="nil"/>
              <w:bottom w:val="single" w:sz="4" w:space="0" w:color="auto"/>
              <w:right w:val="single" w:sz="4" w:space="0" w:color="auto"/>
            </w:tcBorders>
            <w:noWrap/>
            <w:vAlign w:val="bottom"/>
            <w:hideMark/>
          </w:tcPr>
          <w:p w14:paraId="012BEEAE"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0D702709"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89,537 </w:t>
            </w:r>
          </w:p>
        </w:tc>
        <w:tc>
          <w:tcPr>
            <w:tcW w:w="1988" w:type="dxa"/>
            <w:tcBorders>
              <w:top w:val="nil"/>
              <w:left w:val="nil"/>
              <w:bottom w:val="single" w:sz="4" w:space="0" w:color="auto"/>
              <w:right w:val="single" w:sz="4" w:space="0" w:color="auto"/>
            </w:tcBorders>
            <w:noWrap/>
            <w:vAlign w:val="bottom"/>
            <w:hideMark/>
          </w:tcPr>
          <w:p w14:paraId="229642FD"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320,671 </w:t>
            </w:r>
          </w:p>
        </w:tc>
      </w:tr>
      <w:tr w:rsidR="001523AF" w:rsidRPr="00891CBB" w14:paraId="54087E4D"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566A9C96"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2012</w:t>
            </w:r>
          </w:p>
        </w:tc>
        <w:tc>
          <w:tcPr>
            <w:tcW w:w="1980" w:type="dxa"/>
            <w:tcBorders>
              <w:top w:val="nil"/>
              <w:left w:val="nil"/>
              <w:bottom w:val="single" w:sz="4" w:space="0" w:color="auto"/>
              <w:right w:val="single" w:sz="4" w:space="0" w:color="auto"/>
            </w:tcBorders>
            <w:noWrap/>
            <w:vAlign w:val="bottom"/>
            <w:hideMark/>
          </w:tcPr>
          <w:p w14:paraId="53060713"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344,421 </w:t>
            </w:r>
          </w:p>
        </w:tc>
        <w:tc>
          <w:tcPr>
            <w:tcW w:w="1463" w:type="dxa"/>
            <w:tcBorders>
              <w:top w:val="nil"/>
              <w:left w:val="nil"/>
              <w:bottom w:val="single" w:sz="4" w:space="0" w:color="auto"/>
              <w:right w:val="single" w:sz="4" w:space="0" w:color="auto"/>
            </w:tcBorders>
            <w:noWrap/>
            <w:vAlign w:val="bottom"/>
            <w:hideMark/>
          </w:tcPr>
          <w:p w14:paraId="294A42EA"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20F5CAC6"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67,887 </w:t>
            </w:r>
          </w:p>
        </w:tc>
        <w:tc>
          <w:tcPr>
            <w:tcW w:w="1988" w:type="dxa"/>
            <w:tcBorders>
              <w:top w:val="nil"/>
              <w:left w:val="nil"/>
              <w:bottom w:val="single" w:sz="4" w:space="0" w:color="auto"/>
              <w:right w:val="single" w:sz="4" w:space="0" w:color="auto"/>
            </w:tcBorders>
            <w:noWrap/>
            <w:vAlign w:val="bottom"/>
            <w:hideMark/>
          </w:tcPr>
          <w:p w14:paraId="1070D783"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276,533 </w:t>
            </w:r>
          </w:p>
        </w:tc>
      </w:tr>
      <w:tr w:rsidR="001523AF" w:rsidRPr="00891CBB" w14:paraId="59EF6740"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64E23546"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2013</w:t>
            </w:r>
          </w:p>
        </w:tc>
        <w:tc>
          <w:tcPr>
            <w:tcW w:w="1980" w:type="dxa"/>
            <w:tcBorders>
              <w:top w:val="nil"/>
              <w:left w:val="nil"/>
              <w:bottom w:val="single" w:sz="4" w:space="0" w:color="auto"/>
              <w:right w:val="single" w:sz="4" w:space="0" w:color="auto"/>
            </w:tcBorders>
            <w:noWrap/>
            <w:vAlign w:val="bottom"/>
            <w:hideMark/>
          </w:tcPr>
          <w:p w14:paraId="5522AE72"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357,944 </w:t>
            </w:r>
          </w:p>
        </w:tc>
        <w:tc>
          <w:tcPr>
            <w:tcW w:w="1463" w:type="dxa"/>
            <w:tcBorders>
              <w:top w:val="nil"/>
              <w:left w:val="nil"/>
              <w:bottom w:val="single" w:sz="4" w:space="0" w:color="auto"/>
              <w:right w:val="single" w:sz="4" w:space="0" w:color="auto"/>
            </w:tcBorders>
            <w:noWrap/>
            <w:vAlign w:val="bottom"/>
            <w:hideMark/>
          </w:tcPr>
          <w:p w14:paraId="2E8B3A76"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2E4E7BB0"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94,957 </w:t>
            </w:r>
          </w:p>
        </w:tc>
        <w:tc>
          <w:tcPr>
            <w:tcW w:w="1988" w:type="dxa"/>
            <w:tcBorders>
              <w:top w:val="nil"/>
              <w:left w:val="nil"/>
              <w:bottom w:val="single" w:sz="4" w:space="0" w:color="auto"/>
              <w:right w:val="single" w:sz="4" w:space="0" w:color="auto"/>
            </w:tcBorders>
            <w:noWrap/>
            <w:vAlign w:val="bottom"/>
            <w:hideMark/>
          </w:tcPr>
          <w:p w14:paraId="13EBD8F8"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262,987 </w:t>
            </w:r>
          </w:p>
        </w:tc>
      </w:tr>
      <w:tr w:rsidR="001523AF" w:rsidRPr="00891CBB" w14:paraId="2DB707D4"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5058F530"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2014</w:t>
            </w:r>
          </w:p>
        </w:tc>
        <w:tc>
          <w:tcPr>
            <w:tcW w:w="1980" w:type="dxa"/>
            <w:tcBorders>
              <w:top w:val="nil"/>
              <w:left w:val="nil"/>
              <w:bottom w:val="single" w:sz="4" w:space="0" w:color="auto"/>
              <w:right w:val="single" w:sz="4" w:space="0" w:color="auto"/>
            </w:tcBorders>
            <w:noWrap/>
            <w:vAlign w:val="bottom"/>
            <w:hideMark/>
          </w:tcPr>
          <w:p w14:paraId="7FC324B3"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526,149 </w:t>
            </w:r>
          </w:p>
        </w:tc>
        <w:tc>
          <w:tcPr>
            <w:tcW w:w="1463" w:type="dxa"/>
            <w:tcBorders>
              <w:top w:val="nil"/>
              <w:left w:val="nil"/>
              <w:bottom w:val="single" w:sz="4" w:space="0" w:color="auto"/>
              <w:right w:val="single" w:sz="4" w:space="0" w:color="auto"/>
            </w:tcBorders>
            <w:noWrap/>
            <w:vAlign w:val="bottom"/>
            <w:hideMark/>
          </w:tcPr>
          <w:p w14:paraId="7C63E74D"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1FAD73FA"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88,623 </w:t>
            </w:r>
          </w:p>
        </w:tc>
        <w:tc>
          <w:tcPr>
            <w:tcW w:w="1988" w:type="dxa"/>
            <w:tcBorders>
              <w:top w:val="nil"/>
              <w:left w:val="nil"/>
              <w:bottom w:val="single" w:sz="4" w:space="0" w:color="auto"/>
              <w:right w:val="single" w:sz="4" w:space="0" w:color="auto"/>
            </w:tcBorders>
            <w:noWrap/>
            <w:vAlign w:val="bottom"/>
            <w:hideMark/>
          </w:tcPr>
          <w:p w14:paraId="5C47132A"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437,525 </w:t>
            </w:r>
          </w:p>
        </w:tc>
      </w:tr>
      <w:tr w:rsidR="001523AF" w:rsidRPr="00891CBB" w14:paraId="29E5BDE2"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61B41420"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2015</w:t>
            </w:r>
          </w:p>
        </w:tc>
        <w:tc>
          <w:tcPr>
            <w:tcW w:w="1980" w:type="dxa"/>
            <w:tcBorders>
              <w:top w:val="nil"/>
              <w:left w:val="nil"/>
              <w:bottom w:val="single" w:sz="4" w:space="0" w:color="auto"/>
              <w:right w:val="single" w:sz="4" w:space="0" w:color="auto"/>
            </w:tcBorders>
            <w:noWrap/>
            <w:vAlign w:val="bottom"/>
            <w:hideMark/>
          </w:tcPr>
          <w:p w14:paraId="5474EDBC"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64,535 </w:t>
            </w:r>
          </w:p>
        </w:tc>
        <w:tc>
          <w:tcPr>
            <w:tcW w:w="1463" w:type="dxa"/>
            <w:tcBorders>
              <w:top w:val="nil"/>
              <w:left w:val="nil"/>
              <w:bottom w:val="single" w:sz="4" w:space="0" w:color="auto"/>
              <w:right w:val="single" w:sz="4" w:space="0" w:color="auto"/>
            </w:tcBorders>
            <w:noWrap/>
            <w:vAlign w:val="bottom"/>
            <w:hideMark/>
          </w:tcPr>
          <w:p w14:paraId="24D12488"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06734A14"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20,286 </w:t>
            </w:r>
          </w:p>
        </w:tc>
        <w:tc>
          <w:tcPr>
            <w:tcW w:w="1988" w:type="dxa"/>
            <w:tcBorders>
              <w:top w:val="nil"/>
              <w:left w:val="nil"/>
              <w:bottom w:val="single" w:sz="4" w:space="0" w:color="auto"/>
              <w:right w:val="single" w:sz="4" w:space="0" w:color="auto"/>
            </w:tcBorders>
            <w:noWrap/>
            <w:vAlign w:val="bottom"/>
            <w:hideMark/>
          </w:tcPr>
          <w:p w14:paraId="0FED9E7C"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44,249 </w:t>
            </w:r>
          </w:p>
        </w:tc>
      </w:tr>
      <w:tr w:rsidR="001523AF" w:rsidRPr="00891CBB" w14:paraId="5928DD4A"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6DB261D6"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2016</w:t>
            </w:r>
          </w:p>
        </w:tc>
        <w:tc>
          <w:tcPr>
            <w:tcW w:w="1980" w:type="dxa"/>
            <w:tcBorders>
              <w:top w:val="nil"/>
              <w:left w:val="nil"/>
              <w:bottom w:val="single" w:sz="4" w:space="0" w:color="auto"/>
              <w:right w:val="single" w:sz="4" w:space="0" w:color="auto"/>
            </w:tcBorders>
            <w:noWrap/>
            <w:vAlign w:val="bottom"/>
            <w:hideMark/>
          </w:tcPr>
          <w:p w14:paraId="6F604DAB"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51,177 </w:t>
            </w:r>
          </w:p>
        </w:tc>
        <w:tc>
          <w:tcPr>
            <w:tcW w:w="1463" w:type="dxa"/>
            <w:tcBorders>
              <w:top w:val="nil"/>
              <w:left w:val="nil"/>
              <w:bottom w:val="single" w:sz="4" w:space="0" w:color="auto"/>
              <w:right w:val="single" w:sz="4" w:space="0" w:color="auto"/>
            </w:tcBorders>
            <w:noWrap/>
            <w:vAlign w:val="bottom"/>
            <w:hideMark/>
          </w:tcPr>
          <w:p w14:paraId="5C908DEF"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30A1EA8F"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24,240 </w:t>
            </w:r>
          </w:p>
        </w:tc>
        <w:tc>
          <w:tcPr>
            <w:tcW w:w="1988" w:type="dxa"/>
            <w:tcBorders>
              <w:top w:val="nil"/>
              <w:left w:val="nil"/>
              <w:bottom w:val="single" w:sz="4" w:space="0" w:color="auto"/>
              <w:right w:val="single" w:sz="4" w:space="0" w:color="auto"/>
            </w:tcBorders>
            <w:noWrap/>
            <w:vAlign w:val="bottom"/>
            <w:hideMark/>
          </w:tcPr>
          <w:p w14:paraId="4EB03688"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26,937 </w:t>
            </w:r>
          </w:p>
        </w:tc>
      </w:tr>
      <w:tr w:rsidR="001523AF" w:rsidRPr="00891CBB" w14:paraId="196EF7BE"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0FBE5094"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2017</w:t>
            </w:r>
          </w:p>
        </w:tc>
        <w:tc>
          <w:tcPr>
            <w:tcW w:w="1980" w:type="dxa"/>
            <w:tcBorders>
              <w:top w:val="nil"/>
              <w:left w:val="nil"/>
              <w:bottom w:val="single" w:sz="4" w:space="0" w:color="auto"/>
              <w:right w:val="single" w:sz="4" w:space="0" w:color="auto"/>
            </w:tcBorders>
            <w:noWrap/>
            <w:vAlign w:val="bottom"/>
            <w:hideMark/>
          </w:tcPr>
          <w:p w14:paraId="1325F870"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308,871 </w:t>
            </w:r>
          </w:p>
        </w:tc>
        <w:tc>
          <w:tcPr>
            <w:tcW w:w="1463" w:type="dxa"/>
            <w:tcBorders>
              <w:top w:val="nil"/>
              <w:left w:val="nil"/>
              <w:bottom w:val="single" w:sz="4" w:space="0" w:color="auto"/>
              <w:right w:val="single" w:sz="4" w:space="0" w:color="auto"/>
            </w:tcBorders>
            <w:noWrap/>
            <w:vAlign w:val="bottom"/>
            <w:hideMark/>
          </w:tcPr>
          <w:p w14:paraId="32B89CC8"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6F63720E"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40,785 </w:t>
            </w:r>
          </w:p>
        </w:tc>
        <w:tc>
          <w:tcPr>
            <w:tcW w:w="1988" w:type="dxa"/>
            <w:tcBorders>
              <w:top w:val="nil"/>
              <w:left w:val="nil"/>
              <w:bottom w:val="single" w:sz="4" w:space="0" w:color="auto"/>
              <w:right w:val="single" w:sz="4" w:space="0" w:color="auto"/>
            </w:tcBorders>
            <w:noWrap/>
            <w:vAlign w:val="bottom"/>
            <w:hideMark/>
          </w:tcPr>
          <w:p w14:paraId="551B7547"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268,086 </w:t>
            </w:r>
          </w:p>
        </w:tc>
      </w:tr>
      <w:tr w:rsidR="001523AF" w:rsidRPr="00891CBB" w14:paraId="7D427801"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5122EA6C"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2018</w:t>
            </w:r>
          </w:p>
        </w:tc>
        <w:tc>
          <w:tcPr>
            <w:tcW w:w="1980" w:type="dxa"/>
            <w:tcBorders>
              <w:top w:val="nil"/>
              <w:left w:val="nil"/>
              <w:bottom w:val="single" w:sz="4" w:space="0" w:color="auto"/>
              <w:right w:val="single" w:sz="4" w:space="0" w:color="auto"/>
            </w:tcBorders>
            <w:noWrap/>
            <w:vAlign w:val="bottom"/>
            <w:hideMark/>
          </w:tcPr>
          <w:p w14:paraId="43880621"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337,368 </w:t>
            </w:r>
          </w:p>
        </w:tc>
        <w:tc>
          <w:tcPr>
            <w:tcW w:w="1463" w:type="dxa"/>
            <w:tcBorders>
              <w:top w:val="nil"/>
              <w:left w:val="nil"/>
              <w:bottom w:val="single" w:sz="4" w:space="0" w:color="auto"/>
              <w:right w:val="single" w:sz="4" w:space="0" w:color="auto"/>
            </w:tcBorders>
            <w:noWrap/>
            <w:vAlign w:val="bottom"/>
            <w:hideMark/>
          </w:tcPr>
          <w:p w14:paraId="545FF21C"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7FD7F901"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46,897 </w:t>
            </w:r>
          </w:p>
        </w:tc>
        <w:tc>
          <w:tcPr>
            <w:tcW w:w="1988" w:type="dxa"/>
            <w:tcBorders>
              <w:top w:val="nil"/>
              <w:left w:val="nil"/>
              <w:bottom w:val="single" w:sz="4" w:space="0" w:color="auto"/>
              <w:right w:val="single" w:sz="4" w:space="0" w:color="auto"/>
            </w:tcBorders>
            <w:noWrap/>
            <w:vAlign w:val="bottom"/>
            <w:hideMark/>
          </w:tcPr>
          <w:p w14:paraId="1B789D97"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290,471 </w:t>
            </w:r>
          </w:p>
        </w:tc>
      </w:tr>
      <w:tr w:rsidR="001523AF" w:rsidRPr="00891CBB" w14:paraId="45B56B8C"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7A02A982"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2019</w:t>
            </w:r>
          </w:p>
        </w:tc>
        <w:tc>
          <w:tcPr>
            <w:tcW w:w="1980" w:type="dxa"/>
            <w:tcBorders>
              <w:top w:val="nil"/>
              <w:left w:val="nil"/>
              <w:bottom w:val="single" w:sz="4" w:space="0" w:color="auto"/>
              <w:right w:val="single" w:sz="4" w:space="0" w:color="auto"/>
            </w:tcBorders>
            <w:noWrap/>
            <w:vAlign w:val="bottom"/>
            <w:hideMark/>
          </w:tcPr>
          <w:p w14:paraId="532DD6D6"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400,964 </w:t>
            </w:r>
          </w:p>
        </w:tc>
        <w:tc>
          <w:tcPr>
            <w:tcW w:w="1463" w:type="dxa"/>
            <w:tcBorders>
              <w:top w:val="nil"/>
              <w:left w:val="nil"/>
              <w:bottom w:val="single" w:sz="4" w:space="0" w:color="auto"/>
              <w:right w:val="single" w:sz="4" w:space="0" w:color="auto"/>
            </w:tcBorders>
            <w:noWrap/>
            <w:vAlign w:val="bottom"/>
            <w:hideMark/>
          </w:tcPr>
          <w:p w14:paraId="2097BE43"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786AE71B"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58,975 </w:t>
            </w:r>
          </w:p>
        </w:tc>
        <w:tc>
          <w:tcPr>
            <w:tcW w:w="1988" w:type="dxa"/>
            <w:tcBorders>
              <w:top w:val="nil"/>
              <w:left w:val="nil"/>
              <w:bottom w:val="single" w:sz="4" w:space="0" w:color="auto"/>
              <w:right w:val="single" w:sz="4" w:space="0" w:color="auto"/>
            </w:tcBorders>
            <w:noWrap/>
            <w:vAlign w:val="bottom"/>
            <w:hideMark/>
          </w:tcPr>
          <w:p w14:paraId="3830DDB0"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341,989 </w:t>
            </w:r>
          </w:p>
        </w:tc>
      </w:tr>
      <w:tr w:rsidR="001523AF" w:rsidRPr="00891CBB" w14:paraId="4B9DA1BA" w14:textId="77777777" w:rsidTr="001523AF">
        <w:trPr>
          <w:trHeight w:val="315"/>
        </w:trPr>
        <w:tc>
          <w:tcPr>
            <w:tcW w:w="1240" w:type="dxa"/>
            <w:tcBorders>
              <w:top w:val="nil"/>
              <w:left w:val="single" w:sz="4" w:space="0" w:color="auto"/>
              <w:bottom w:val="single" w:sz="4" w:space="0" w:color="auto"/>
              <w:right w:val="single" w:sz="4" w:space="0" w:color="auto"/>
            </w:tcBorders>
            <w:noWrap/>
            <w:vAlign w:val="bottom"/>
            <w:hideMark/>
          </w:tcPr>
          <w:p w14:paraId="5BEBC60E" w14:textId="77777777" w:rsidR="001523AF" w:rsidRPr="00891CBB" w:rsidRDefault="001523AF"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2020</w:t>
            </w:r>
          </w:p>
        </w:tc>
        <w:tc>
          <w:tcPr>
            <w:tcW w:w="1980" w:type="dxa"/>
            <w:tcBorders>
              <w:top w:val="nil"/>
              <w:left w:val="nil"/>
              <w:bottom w:val="single" w:sz="4" w:space="0" w:color="auto"/>
              <w:right w:val="single" w:sz="4" w:space="0" w:color="auto"/>
            </w:tcBorders>
            <w:noWrap/>
            <w:vAlign w:val="bottom"/>
            <w:hideMark/>
          </w:tcPr>
          <w:p w14:paraId="7F19EC03"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63,115 </w:t>
            </w:r>
          </w:p>
        </w:tc>
        <w:tc>
          <w:tcPr>
            <w:tcW w:w="1463" w:type="dxa"/>
            <w:tcBorders>
              <w:top w:val="nil"/>
              <w:left w:val="nil"/>
              <w:bottom w:val="single" w:sz="4" w:space="0" w:color="auto"/>
              <w:right w:val="single" w:sz="4" w:space="0" w:color="auto"/>
            </w:tcBorders>
            <w:noWrap/>
            <w:vAlign w:val="bottom"/>
            <w:hideMark/>
          </w:tcPr>
          <w:p w14:paraId="208022A2"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0</w:t>
            </w:r>
          </w:p>
        </w:tc>
        <w:tc>
          <w:tcPr>
            <w:tcW w:w="1985" w:type="dxa"/>
            <w:tcBorders>
              <w:top w:val="nil"/>
              <w:left w:val="nil"/>
              <w:bottom w:val="single" w:sz="4" w:space="0" w:color="auto"/>
              <w:right w:val="single" w:sz="4" w:space="0" w:color="auto"/>
            </w:tcBorders>
            <w:noWrap/>
            <w:vAlign w:val="bottom"/>
            <w:hideMark/>
          </w:tcPr>
          <w:p w14:paraId="6EBD57EC"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28,014 </w:t>
            </w:r>
          </w:p>
        </w:tc>
        <w:tc>
          <w:tcPr>
            <w:tcW w:w="1988" w:type="dxa"/>
            <w:tcBorders>
              <w:top w:val="nil"/>
              <w:left w:val="nil"/>
              <w:bottom w:val="single" w:sz="4" w:space="0" w:color="auto"/>
              <w:right w:val="single" w:sz="4" w:space="0" w:color="auto"/>
            </w:tcBorders>
            <w:noWrap/>
            <w:vAlign w:val="bottom"/>
            <w:hideMark/>
          </w:tcPr>
          <w:p w14:paraId="70E2E5FA" w14:textId="77777777" w:rsidR="001523AF" w:rsidRPr="00891CBB" w:rsidRDefault="001523AF" w:rsidP="001523AF">
            <w:pPr>
              <w:spacing w:after="0" w:line="240" w:lineRule="auto"/>
              <w:jc w:val="right"/>
              <w:rPr>
                <w:rFonts w:eastAsia="Times New Roman" w:cstheme="minorHAnsi"/>
                <w:sz w:val="20"/>
                <w:szCs w:val="20"/>
                <w:lang w:eastAsia="en-CA"/>
              </w:rPr>
            </w:pPr>
            <w:r w:rsidRPr="00891CBB">
              <w:rPr>
                <w:rFonts w:eastAsia="Times New Roman" w:cstheme="minorHAnsi"/>
                <w:sz w:val="20"/>
                <w:szCs w:val="20"/>
                <w:lang w:eastAsia="en-CA"/>
              </w:rPr>
              <w:t xml:space="preserve">35,101 </w:t>
            </w:r>
          </w:p>
        </w:tc>
      </w:tr>
    </w:tbl>
    <w:p w14:paraId="25C592C6" w14:textId="7E8AD227" w:rsidR="00891CBB" w:rsidRPr="00891CBB" w:rsidRDefault="00891CBB" w:rsidP="00C32D45">
      <w:pPr>
        <w:spacing w:after="0" w:line="240" w:lineRule="auto"/>
        <w:rPr>
          <w:b/>
          <w:bCs/>
          <w:sz w:val="20"/>
          <w:szCs w:val="20"/>
        </w:rPr>
      </w:pPr>
      <w:r w:rsidRPr="00891CBB">
        <w:rPr>
          <w:b/>
          <w:bCs/>
          <w:sz w:val="20"/>
          <w:szCs w:val="20"/>
        </w:rPr>
        <w:t xml:space="preserve">Note: </w:t>
      </w:r>
      <w:r w:rsidRPr="00891CBB">
        <w:rPr>
          <w:sz w:val="20"/>
          <w:szCs w:val="20"/>
        </w:rPr>
        <w:t>Alberta royalty data refers to royalties received.</w:t>
      </w:r>
      <w:r w:rsidRPr="00891CBB">
        <w:rPr>
          <w:b/>
          <w:bCs/>
          <w:sz w:val="20"/>
          <w:szCs w:val="20"/>
        </w:rPr>
        <w:t xml:space="preserve"> </w:t>
      </w:r>
    </w:p>
    <w:p w14:paraId="2C492869" w14:textId="3DB86B1D" w:rsidR="001523AF" w:rsidRPr="00891CBB" w:rsidRDefault="001A2450" w:rsidP="00C32D45">
      <w:pPr>
        <w:spacing w:after="0" w:line="240" w:lineRule="auto"/>
        <w:rPr>
          <w:b/>
          <w:bCs/>
          <w:sz w:val="20"/>
          <w:szCs w:val="20"/>
        </w:rPr>
      </w:pPr>
      <w:r w:rsidRPr="00891CBB">
        <w:rPr>
          <w:b/>
          <w:bCs/>
          <w:sz w:val="20"/>
          <w:szCs w:val="20"/>
        </w:rPr>
        <w:t xml:space="preserve">Source: </w:t>
      </w:r>
      <w:r w:rsidR="00EC1A56" w:rsidRPr="001E58AD">
        <w:rPr>
          <w:sz w:val="20"/>
          <w:szCs w:val="20"/>
          <w:lang w:val="en-US"/>
        </w:rPr>
        <w:t xml:space="preserve">Government of Alberta, </w:t>
      </w:r>
      <w:r w:rsidR="00EC1A56" w:rsidRPr="001E58AD">
        <w:rPr>
          <w:i/>
          <w:iCs/>
          <w:sz w:val="20"/>
          <w:szCs w:val="20"/>
          <w:lang w:val="en-US"/>
        </w:rPr>
        <w:t>Historical Royalty Revenue</w:t>
      </w:r>
      <w:r w:rsidR="00EC1A56" w:rsidRPr="001E58AD">
        <w:rPr>
          <w:sz w:val="20"/>
          <w:szCs w:val="20"/>
          <w:lang w:val="en-US"/>
        </w:rPr>
        <w:t xml:space="preserve">. </w:t>
      </w:r>
      <w:hyperlink r:id="rId23" w:history="1">
        <w:r w:rsidRPr="00891CBB">
          <w:rPr>
            <w:rStyle w:val="Hyperlink"/>
            <w:sz w:val="20"/>
            <w:szCs w:val="20"/>
          </w:rPr>
          <w:t>Alberta Historical Resource revenue workbook 1970-2022</w:t>
        </w:r>
      </w:hyperlink>
      <w:r w:rsidR="008209A5" w:rsidRPr="00891CBB">
        <w:rPr>
          <w:sz w:val="20"/>
          <w:szCs w:val="20"/>
        </w:rPr>
        <w:t>.</w:t>
      </w:r>
      <w:r w:rsidR="00EC1A56" w:rsidRPr="00EC1A56">
        <w:rPr>
          <w:sz w:val="20"/>
          <w:szCs w:val="20"/>
          <w:lang w:val="en-US"/>
        </w:rPr>
        <w:t xml:space="preserve"> </w:t>
      </w:r>
    </w:p>
    <w:p w14:paraId="06C7C76A" w14:textId="77777777" w:rsidR="008209A5" w:rsidRDefault="008209A5" w:rsidP="000A3F4F">
      <w:pPr>
        <w:spacing w:afterLines="40" w:after="96" w:line="240" w:lineRule="auto"/>
        <w:rPr>
          <w:b/>
          <w:bCs/>
          <w:sz w:val="20"/>
          <w:szCs w:val="20"/>
        </w:rPr>
      </w:pPr>
    </w:p>
    <w:p w14:paraId="67D6F81A" w14:textId="77777777" w:rsidR="00891CBB" w:rsidRDefault="001A75F7" w:rsidP="00CD2E6A">
      <w:pPr>
        <w:spacing w:after="0" w:line="240" w:lineRule="auto"/>
        <w:rPr>
          <w:b/>
          <w:bCs/>
          <w:sz w:val="20"/>
          <w:szCs w:val="20"/>
        </w:rPr>
      </w:pPr>
      <w:r w:rsidRPr="00DE028F">
        <w:rPr>
          <w:b/>
          <w:bCs/>
          <w:sz w:val="20"/>
          <w:szCs w:val="20"/>
        </w:rPr>
        <w:t xml:space="preserve">Table </w:t>
      </w:r>
      <w:r w:rsidR="00FD7600">
        <w:rPr>
          <w:b/>
          <w:bCs/>
          <w:sz w:val="20"/>
          <w:szCs w:val="20"/>
        </w:rPr>
        <w:t>1</w:t>
      </w:r>
      <w:r w:rsidR="00CE0B1D">
        <w:rPr>
          <w:b/>
          <w:bCs/>
          <w:sz w:val="20"/>
          <w:szCs w:val="20"/>
        </w:rPr>
        <w:t>2</w:t>
      </w:r>
    </w:p>
    <w:p w14:paraId="30345C1F" w14:textId="422A465B" w:rsidR="001A75F7" w:rsidRPr="00DE028F" w:rsidRDefault="001A75F7" w:rsidP="00CD2E6A">
      <w:pPr>
        <w:spacing w:after="0" w:line="240" w:lineRule="auto"/>
        <w:rPr>
          <w:b/>
          <w:bCs/>
          <w:sz w:val="20"/>
          <w:szCs w:val="20"/>
        </w:rPr>
      </w:pPr>
      <w:r w:rsidRPr="00DE028F">
        <w:rPr>
          <w:b/>
          <w:bCs/>
          <w:sz w:val="20"/>
          <w:szCs w:val="20"/>
        </w:rPr>
        <w:t>Average royalty rat</w:t>
      </w:r>
      <w:r w:rsidR="00112CB9">
        <w:rPr>
          <w:b/>
          <w:bCs/>
          <w:sz w:val="20"/>
          <w:szCs w:val="20"/>
        </w:rPr>
        <w:t>e</w:t>
      </w:r>
      <w:r w:rsidRPr="00DE028F">
        <w:rPr>
          <w:b/>
          <w:bCs/>
          <w:sz w:val="20"/>
          <w:szCs w:val="20"/>
        </w:rPr>
        <w:t xml:space="preserve"> from Alberta’s royalty reports</w:t>
      </w:r>
      <w:r w:rsidR="00C35457">
        <w:rPr>
          <w:b/>
          <w:bCs/>
          <w:sz w:val="20"/>
          <w:szCs w:val="20"/>
        </w:rPr>
        <w:t>, 2016 to 2022</w:t>
      </w:r>
      <w:r w:rsidRPr="00DE028F">
        <w:rPr>
          <w:b/>
          <w:bCs/>
          <w:sz w:val="20"/>
          <w:szCs w:val="20"/>
        </w:rPr>
        <w:t xml:space="preserve"> </w:t>
      </w:r>
    </w:p>
    <w:tbl>
      <w:tblP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2076"/>
        <w:gridCol w:w="1904"/>
      </w:tblGrid>
      <w:tr w:rsidR="007409AE" w:rsidRPr="00891CBB" w14:paraId="7B2401F8" w14:textId="77777777" w:rsidTr="00F30F31">
        <w:trPr>
          <w:trHeight w:val="290"/>
        </w:trPr>
        <w:tc>
          <w:tcPr>
            <w:tcW w:w="1780" w:type="dxa"/>
            <w:noWrap/>
            <w:vAlign w:val="bottom"/>
            <w:hideMark/>
          </w:tcPr>
          <w:p w14:paraId="1FFC4D25" w14:textId="77777777" w:rsidR="007409AE" w:rsidRPr="00891CBB" w:rsidRDefault="007409AE" w:rsidP="007409AE">
            <w:pPr>
              <w:spacing w:after="0" w:line="240" w:lineRule="auto"/>
              <w:rPr>
                <w:rFonts w:eastAsia="Times New Roman" w:cstheme="minorHAnsi"/>
                <w:sz w:val="20"/>
                <w:szCs w:val="20"/>
                <w:lang w:eastAsia="en-CA"/>
              </w:rPr>
            </w:pPr>
          </w:p>
        </w:tc>
        <w:tc>
          <w:tcPr>
            <w:tcW w:w="3980" w:type="dxa"/>
            <w:gridSpan w:val="2"/>
            <w:noWrap/>
            <w:vAlign w:val="center"/>
            <w:hideMark/>
          </w:tcPr>
          <w:p w14:paraId="2D28391E" w14:textId="60F19B9E" w:rsidR="007409AE" w:rsidRPr="00891CBB" w:rsidRDefault="007409AE" w:rsidP="007409AE">
            <w:pPr>
              <w:spacing w:after="0" w:line="240" w:lineRule="auto"/>
              <w:jc w:val="center"/>
              <w:rPr>
                <w:rFonts w:eastAsia="Times New Roman" w:cstheme="minorHAnsi"/>
                <w:b/>
                <w:bCs/>
                <w:sz w:val="20"/>
                <w:szCs w:val="20"/>
                <w:lang w:eastAsia="en-CA"/>
              </w:rPr>
            </w:pPr>
            <w:r w:rsidRPr="00891CBB">
              <w:rPr>
                <w:rFonts w:eastAsia="Times New Roman" w:cstheme="minorHAnsi"/>
                <w:b/>
                <w:bCs/>
                <w:sz w:val="20"/>
                <w:szCs w:val="20"/>
                <w:lang w:eastAsia="en-CA"/>
              </w:rPr>
              <w:t>Average royalty rate</w:t>
            </w:r>
          </w:p>
        </w:tc>
      </w:tr>
      <w:tr w:rsidR="007409AE" w:rsidRPr="00891CBB" w14:paraId="560CE5F5" w14:textId="77777777" w:rsidTr="00F30F31">
        <w:trPr>
          <w:trHeight w:val="260"/>
        </w:trPr>
        <w:tc>
          <w:tcPr>
            <w:tcW w:w="1780" w:type="dxa"/>
            <w:noWrap/>
            <w:vAlign w:val="bottom"/>
            <w:hideMark/>
          </w:tcPr>
          <w:p w14:paraId="2F6C91A3" w14:textId="5A4D69BB" w:rsidR="007409AE" w:rsidRPr="00891CBB" w:rsidRDefault="007409AE" w:rsidP="007409AE">
            <w:pPr>
              <w:spacing w:after="0" w:line="240" w:lineRule="auto"/>
              <w:rPr>
                <w:rFonts w:eastAsia="Times New Roman" w:cstheme="minorHAnsi"/>
                <w:b/>
                <w:bCs/>
                <w:sz w:val="20"/>
                <w:szCs w:val="20"/>
                <w:lang w:eastAsia="en-CA"/>
              </w:rPr>
            </w:pPr>
            <w:r w:rsidRPr="00891CBB">
              <w:rPr>
                <w:rFonts w:eastAsia="Times New Roman" w:cstheme="minorHAnsi"/>
                <w:sz w:val="20"/>
                <w:szCs w:val="20"/>
                <w:lang w:eastAsia="en-CA"/>
              </w:rPr>
              <w:t> </w:t>
            </w:r>
            <w:r w:rsidR="00891CBB" w:rsidRPr="00891CBB">
              <w:rPr>
                <w:rFonts w:eastAsia="Times New Roman" w:cstheme="minorHAnsi"/>
                <w:b/>
                <w:bCs/>
                <w:sz w:val="20"/>
                <w:szCs w:val="20"/>
                <w:lang w:eastAsia="en-CA"/>
              </w:rPr>
              <w:t>Year</w:t>
            </w:r>
          </w:p>
        </w:tc>
        <w:tc>
          <w:tcPr>
            <w:tcW w:w="2076" w:type="dxa"/>
            <w:noWrap/>
            <w:vAlign w:val="bottom"/>
            <w:hideMark/>
          </w:tcPr>
          <w:p w14:paraId="731BEE82" w14:textId="3D1589CE" w:rsidR="007409AE" w:rsidRPr="00891CBB" w:rsidRDefault="007409AE" w:rsidP="00891CBB">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Post-payout</w:t>
            </w:r>
          </w:p>
        </w:tc>
        <w:tc>
          <w:tcPr>
            <w:tcW w:w="1904" w:type="dxa"/>
            <w:noWrap/>
            <w:vAlign w:val="bottom"/>
            <w:hideMark/>
          </w:tcPr>
          <w:p w14:paraId="1199D855" w14:textId="1D9A9876" w:rsidR="007409AE" w:rsidRPr="00891CBB" w:rsidRDefault="007409AE" w:rsidP="00891CBB">
            <w:pPr>
              <w:spacing w:after="0" w:line="240" w:lineRule="auto"/>
              <w:jc w:val="right"/>
              <w:rPr>
                <w:rFonts w:eastAsia="Times New Roman" w:cstheme="minorHAnsi"/>
                <w:b/>
                <w:bCs/>
                <w:sz w:val="20"/>
                <w:szCs w:val="20"/>
                <w:lang w:eastAsia="en-CA"/>
              </w:rPr>
            </w:pPr>
            <w:r w:rsidRPr="00891CBB">
              <w:rPr>
                <w:rFonts w:eastAsia="Times New Roman" w:cstheme="minorHAnsi"/>
                <w:b/>
                <w:bCs/>
                <w:sz w:val="20"/>
                <w:szCs w:val="20"/>
                <w:lang w:eastAsia="en-CA"/>
              </w:rPr>
              <w:t>Pre-payout</w:t>
            </w:r>
          </w:p>
        </w:tc>
      </w:tr>
      <w:tr w:rsidR="00F33FEB" w:rsidRPr="00891CBB" w14:paraId="00BE2492" w14:textId="77777777" w:rsidTr="00F30F31">
        <w:trPr>
          <w:trHeight w:val="290"/>
        </w:trPr>
        <w:tc>
          <w:tcPr>
            <w:tcW w:w="1780" w:type="dxa"/>
            <w:noWrap/>
            <w:vAlign w:val="bottom"/>
          </w:tcPr>
          <w:p w14:paraId="449961BE" w14:textId="77777777" w:rsidR="00F33FEB" w:rsidRPr="00891CBB" w:rsidRDefault="00F33FEB" w:rsidP="00891CBB">
            <w:pPr>
              <w:spacing w:after="0" w:line="240" w:lineRule="auto"/>
              <w:rPr>
                <w:rFonts w:eastAsia="Times New Roman" w:cstheme="minorHAnsi"/>
                <w:sz w:val="20"/>
                <w:szCs w:val="20"/>
                <w:lang w:eastAsia="en-CA"/>
              </w:rPr>
            </w:pPr>
          </w:p>
        </w:tc>
        <w:tc>
          <w:tcPr>
            <w:tcW w:w="3980" w:type="dxa"/>
            <w:gridSpan w:val="2"/>
            <w:noWrap/>
            <w:vAlign w:val="bottom"/>
          </w:tcPr>
          <w:p w14:paraId="13CB7E6F" w14:textId="75E8436F" w:rsidR="00F33FEB" w:rsidRPr="00891CBB" w:rsidRDefault="00F33FEB" w:rsidP="00C32D45">
            <w:pPr>
              <w:spacing w:after="0" w:line="240" w:lineRule="auto"/>
              <w:jc w:val="center"/>
              <w:rPr>
                <w:rFonts w:eastAsia="Times New Roman" w:cstheme="minorHAnsi"/>
                <w:color w:val="000000"/>
                <w:sz w:val="20"/>
                <w:szCs w:val="20"/>
                <w:lang w:eastAsia="en-CA"/>
              </w:rPr>
            </w:pPr>
            <w:r>
              <w:rPr>
                <w:rFonts w:eastAsia="Times New Roman" w:cstheme="minorHAnsi"/>
                <w:color w:val="000000"/>
                <w:sz w:val="20"/>
                <w:szCs w:val="20"/>
                <w:lang w:eastAsia="en-CA"/>
              </w:rPr>
              <w:t>percent</w:t>
            </w:r>
          </w:p>
        </w:tc>
      </w:tr>
      <w:tr w:rsidR="007409AE" w:rsidRPr="00891CBB" w14:paraId="7F1FB22E" w14:textId="77777777" w:rsidTr="00F30F31">
        <w:trPr>
          <w:trHeight w:val="290"/>
        </w:trPr>
        <w:tc>
          <w:tcPr>
            <w:tcW w:w="1780" w:type="dxa"/>
            <w:noWrap/>
            <w:vAlign w:val="bottom"/>
            <w:hideMark/>
          </w:tcPr>
          <w:p w14:paraId="47DEC0DE" w14:textId="77777777" w:rsidR="007409AE" w:rsidRPr="00891CBB" w:rsidRDefault="007409AE"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2016</w:t>
            </w:r>
          </w:p>
        </w:tc>
        <w:tc>
          <w:tcPr>
            <w:tcW w:w="2076" w:type="dxa"/>
            <w:noWrap/>
            <w:vAlign w:val="bottom"/>
            <w:hideMark/>
          </w:tcPr>
          <w:p w14:paraId="4799EED2"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14.24</w:t>
            </w:r>
          </w:p>
        </w:tc>
        <w:tc>
          <w:tcPr>
            <w:tcW w:w="1904" w:type="dxa"/>
            <w:noWrap/>
            <w:vAlign w:val="bottom"/>
            <w:hideMark/>
          </w:tcPr>
          <w:p w14:paraId="776BD6E3"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1.23</w:t>
            </w:r>
          </w:p>
        </w:tc>
      </w:tr>
      <w:tr w:rsidR="007409AE" w:rsidRPr="00891CBB" w14:paraId="22D18E17" w14:textId="77777777" w:rsidTr="00F30F31">
        <w:trPr>
          <w:trHeight w:val="290"/>
        </w:trPr>
        <w:tc>
          <w:tcPr>
            <w:tcW w:w="1780" w:type="dxa"/>
            <w:noWrap/>
            <w:vAlign w:val="bottom"/>
            <w:hideMark/>
          </w:tcPr>
          <w:p w14:paraId="7E038851" w14:textId="77777777" w:rsidR="007409AE" w:rsidRPr="00891CBB" w:rsidRDefault="007409AE"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2017</w:t>
            </w:r>
          </w:p>
        </w:tc>
        <w:tc>
          <w:tcPr>
            <w:tcW w:w="2076" w:type="dxa"/>
            <w:noWrap/>
            <w:vAlign w:val="bottom"/>
            <w:hideMark/>
          </w:tcPr>
          <w:p w14:paraId="68918422"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16.94</w:t>
            </w:r>
          </w:p>
        </w:tc>
        <w:tc>
          <w:tcPr>
            <w:tcW w:w="1904" w:type="dxa"/>
            <w:noWrap/>
            <w:vAlign w:val="bottom"/>
            <w:hideMark/>
          </w:tcPr>
          <w:p w14:paraId="3186FE2B"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1.72</w:t>
            </w:r>
          </w:p>
        </w:tc>
      </w:tr>
      <w:tr w:rsidR="007409AE" w:rsidRPr="00891CBB" w14:paraId="2E6CAE6E" w14:textId="77777777" w:rsidTr="00F30F31">
        <w:trPr>
          <w:trHeight w:val="260"/>
        </w:trPr>
        <w:tc>
          <w:tcPr>
            <w:tcW w:w="1780" w:type="dxa"/>
            <w:noWrap/>
            <w:vAlign w:val="bottom"/>
            <w:hideMark/>
          </w:tcPr>
          <w:p w14:paraId="5C44D35B" w14:textId="77777777" w:rsidR="007409AE" w:rsidRPr="00891CBB" w:rsidRDefault="007409AE"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2018</w:t>
            </w:r>
          </w:p>
        </w:tc>
        <w:tc>
          <w:tcPr>
            <w:tcW w:w="2076" w:type="dxa"/>
            <w:noWrap/>
            <w:vAlign w:val="bottom"/>
            <w:hideMark/>
          </w:tcPr>
          <w:p w14:paraId="576D4371"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19.53</w:t>
            </w:r>
          </w:p>
        </w:tc>
        <w:tc>
          <w:tcPr>
            <w:tcW w:w="1904" w:type="dxa"/>
            <w:noWrap/>
            <w:vAlign w:val="bottom"/>
            <w:hideMark/>
          </w:tcPr>
          <w:p w14:paraId="15C129C9"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3.33</w:t>
            </w:r>
          </w:p>
        </w:tc>
      </w:tr>
      <w:tr w:rsidR="007409AE" w:rsidRPr="00891CBB" w14:paraId="3A446ABC" w14:textId="77777777" w:rsidTr="00F30F31">
        <w:trPr>
          <w:trHeight w:val="290"/>
        </w:trPr>
        <w:tc>
          <w:tcPr>
            <w:tcW w:w="1780" w:type="dxa"/>
            <w:noWrap/>
            <w:vAlign w:val="bottom"/>
            <w:hideMark/>
          </w:tcPr>
          <w:p w14:paraId="1A6C8476" w14:textId="77777777" w:rsidR="007409AE" w:rsidRPr="00891CBB" w:rsidRDefault="007409AE"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2019</w:t>
            </w:r>
          </w:p>
        </w:tc>
        <w:tc>
          <w:tcPr>
            <w:tcW w:w="2076" w:type="dxa"/>
            <w:noWrap/>
            <w:vAlign w:val="bottom"/>
            <w:hideMark/>
          </w:tcPr>
          <w:p w14:paraId="502255D1"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19.32</w:t>
            </w:r>
          </w:p>
        </w:tc>
        <w:tc>
          <w:tcPr>
            <w:tcW w:w="1904" w:type="dxa"/>
            <w:noWrap/>
            <w:vAlign w:val="bottom"/>
            <w:hideMark/>
          </w:tcPr>
          <w:p w14:paraId="5043208C"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2.54</w:t>
            </w:r>
          </w:p>
        </w:tc>
      </w:tr>
      <w:tr w:rsidR="007409AE" w:rsidRPr="00891CBB" w14:paraId="037BB5C3" w14:textId="77777777" w:rsidTr="00F30F31">
        <w:trPr>
          <w:trHeight w:val="290"/>
        </w:trPr>
        <w:tc>
          <w:tcPr>
            <w:tcW w:w="1780" w:type="dxa"/>
            <w:noWrap/>
            <w:vAlign w:val="bottom"/>
            <w:hideMark/>
          </w:tcPr>
          <w:p w14:paraId="6DBF79E6" w14:textId="77777777" w:rsidR="007409AE" w:rsidRPr="00891CBB" w:rsidRDefault="007409AE"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2020</w:t>
            </w:r>
          </w:p>
        </w:tc>
        <w:tc>
          <w:tcPr>
            <w:tcW w:w="2076" w:type="dxa"/>
            <w:noWrap/>
            <w:vAlign w:val="bottom"/>
            <w:hideMark/>
          </w:tcPr>
          <w:p w14:paraId="65B450F5"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11.87</w:t>
            </w:r>
          </w:p>
        </w:tc>
        <w:tc>
          <w:tcPr>
            <w:tcW w:w="1904" w:type="dxa"/>
            <w:noWrap/>
            <w:vAlign w:val="bottom"/>
            <w:hideMark/>
          </w:tcPr>
          <w:p w14:paraId="5192B021"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1.49</w:t>
            </w:r>
          </w:p>
        </w:tc>
      </w:tr>
      <w:tr w:rsidR="007409AE" w:rsidRPr="00891CBB" w14:paraId="6C86CDE3" w14:textId="77777777" w:rsidTr="00F30F31">
        <w:trPr>
          <w:trHeight w:val="290"/>
        </w:trPr>
        <w:tc>
          <w:tcPr>
            <w:tcW w:w="1780" w:type="dxa"/>
            <w:noWrap/>
            <w:vAlign w:val="bottom"/>
            <w:hideMark/>
          </w:tcPr>
          <w:p w14:paraId="3BF8B02A" w14:textId="77777777" w:rsidR="007409AE" w:rsidRPr="00891CBB" w:rsidRDefault="007409AE"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2021</w:t>
            </w:r>
          </w:p>
        </w:tc>
        <w:tc>
          <w:tcPr>
            <w:tcW w:w="2076" w:type="dxa"/>
            <w:noWrap/>
            <w:vAlign w:val="bottom"/>
            <w:hideMark/>
          </w:tcPr>
          <w:p w14:paraId="4E8B092F"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20.06</w:t>
            </w:r>
          </w:p>
        </w:tc>
        <w:tc>
          <w:tcPr>
            <w:tcW w:w="1904" w:type="dxa"/>
            <w:noWrap/>
            <w:vAlign w:val="bottom"/>
            <w:hideMark/>
          </w:tcPr>
          <w:p w14:paraId="46EC2651"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3.50</w:t>
            </w:r>
          </w:p>
        </w:tc>
      </w:tr>
      <w:tr w:rsidR="007409AE" w:rsidRPr="00891CBB" w14:paraId="36EC7905" w14:textId="77777777" w:rsidTr="00F30F31">
        <w:trPr>
          <w:trHeight w:val="290"/>
        </w:trPr>
        <w:tc>
          <w:tcPr>
            <w:tcW w:w="1780" w:type="dxa"/>
            <w:noWrap/>
            <w:vAlign w:val="bottom"/>
            <w:hideMark/>
          </w:tcPr>
          <w:p w14:paraId="0A955CDA" w14:textId="77777777" w:rsidR="007409AE" w:rsidRPr="00891CBB" w:rsidRDefault="007409AE" w:rsidP="00891CBB">
            <w:pPr>
              <w:spacing w:after="0" w:line="240" w:lineRule="auto"/>
              <w:rPr>
                <w:rFonts w:eastAsia="Times New Roman" w:cstheme="minorHAnsi"/>
                <w:sz w:val="20"/>
                <w:szCs w:val="20"/>
                <w:lang w:eastAsia="en-CA"/>
              </w:rPr>
            </w:pPr>
            <w:r w:rsidRPr="00891CBB">
              <w:rPr>
                <w:rFonts w:eastAsia="Times New Roman" w:cstheme="minorHAnsi"/>
                <w:sz w:val="20"/>
                <w:szCs w:val="20"/>
                <w:lang w:eastAsia="en-CA"/>
              </w:rPr>
              <w:t>2022</w:t>
            </w:r>
          </w:p>
        </w:tc>
        <w:tc>
          <w:tcPr>
            <w:tcW w:w="2076" w:type="dxa"/>
            <w:noWrap/>
            <w:vAlign w:val="bottom"/>
            <w:hideMark/>
          </w:tcPr>
          <w:p w14:paraId="1F17D384"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28.12</w:t>
            </w:r>
          </w:p>
        </w:tc>
        <w:tc>
          <w:tcPr>
            <w:tcW w:w="1904" w:type="dxa"/>
            <w:noWrap/>
            <w:vAlign w:val="bottom"/>
            <w:hideMark/>
          </w:tcPr>
          <w:p w14:paraId="701A2AE5" w14:textId="77777777" w:rsidR="007409AE" w:rsidRPr="00891CBB" w:rsidRDefault="007409AE" w:rsidP="00891CBB">
            <w:pPr>
              <w:spacing w:after="0" w:line="240" w:lineRule="auto"/>
              <w:jc w:val="right"/>
              <w:rPr>
                <w:rFonts w:eastAsia="Times New Roman" w:cstheme="minorHAnsi"/>
                <w:color w:val="000000"/>
                <w:sz w:val="20"/>
                <w:szCs w:val="20"/>
                <w:lang w:eastAsia="en-CA"/>
              </w:rPr>
            </w:pPr>
            <w:r w:rsidRPr="00891CBB">
              <w:rPr>
                <w:rFonts w:eastAsia="Times New Roman" w:cstheme="minorHAnsi"/>
                <w:color w:val="000000"/>
                <w:sz w:val="20"/>
                <w:szCs w:val="20"/>
                <w:lang w:eastAsia="en-CA"/>
              </w:rPr>
              <w:t>6.57</w:t>
            </w:r>
          </w:p>
        </w:tc>
      </w:tr>
    </w:tbl>
    <w:p w14:paraId="21B56030" w14:textId="6D634944" w:rsidR="007409AE" w:rsidRPr="00891CBB" w:rsidRDefault="00112CB9" w:rsidP="008209A5">
      <w:pPr>
        <w:spacing w:after="0" w:line="240" w:lineRule="auto"/>
        <w:rPr>
          <w:b/>
          <w:bCs/>
          <w:sz w:val="20"/>
          <w:szCs w:val="20"/>
        </w:rPr>
      </w:pPr>
      <w:r w:rsidRPr="00891CBB">
        <w:rPr>
          <w:b/>
          <w:bCs/>
          <w:sz w:val="20"/>
          <w:szCs w:val="20"/>
        </w:rPr>
        <w:lastRenderedPageBreak/>
        <w:t>Note:</w:t>
      </w:r>
      <w:r w:rsidRPr="00891CBB">
        <w:rPr>
          <w:sz w:val="20"/>
          <w:szCs w:val="20"/>
        </w:rPr>
        <w:t xml:space="preserve"> Post-payout projects include gross revenue and net revenue royalties, averaged. Pre-payout projects include gross revenue royalty only.</w:t>
      </w:r>
    </w:p>
    <w:p w14:paraId="7ACCA87C" w14:textId="66DF0AE5" w:rsidR="008209A5" w:rsidRPr="00891CBB" w:rsidRDefault="008209A5" w:rsidP="008209A5">
      <w:pPr>
        <w:spacing w:after="0" w:line="240" w:lineRule="auto"/>
        <w:rPr>
          <w:b/>
          <w:bCs/>
          <w:sz w:val="20"/>
          <w:szCs w:val="20"/>
        </w:rPr>
      </w:pPr>
      <w:r w:rsidRPr="00891CBB">
        <w:rPr>
          <w:b/>
          <w:bCs/>
          <w:sz w:val="20"/>
          <w:szCs w:val="20"/>
        </w:rPr>
        <w:t>Source:</w:t>
      </w:r>
      <w:r w:rsidR="006A1692" w:rsidRPr="00891CBB">
        <w:rPr>
          <w:b/>
          <w:bCs/>
          <w:sz w:val="20"/>
          <w:szCs w:val="20"/>
        </w:rPr>
        <w:t xml:space="preserve"> </w:t>
      </w:r>
      <w:r w:rsidR="00EC1A56" w:rsidRPr="00BC20AA">
        <w:rPr>
          <w:sz w:val="20"/>
          <w:szCs w:val="20"/>
        </w:rPr>
        <w:t>Government of Alberta, Alberta Oil Sands Royalty Data</w:t>
      </w:r>
      <w:r w:rsidR="00EC1A56">
        <w:rPr>
          <w:b/>
          <w:bCs/>
          <w:sz w:val="20"/>
          <w:szCs w:val="20"/>
        </w:rPr>
        <w:t xml:space="preserve"> </w:t>
      </w:r>
      <w:hyperlink r:id="rId24" w:history="1">
        <w:r w:rsidR="006A1692" w:rsidRPr="00891CBB">
          <w:rPr>
            <w:rStyle w:val="Hyperlink"/>
            <w:sz w:val="20"/>
            <w:szCs w:val="20"/>
          </w:rPr>
          <w:t>Alberta Oil sands project database</w:t>
        </w:r>
      </w:hyperlink>
      <w:r w:rsidR="003A3324" w:rsidRPr="00891CBB">
        <w:rPr>
          <w:sz w:val="20"/>
          <w:szCs w:val="20"/>
        </w:rPr>
        <w:t>.</w:t>
      </w:r>
      <w:r w:rsidR="00EC1A56" w:rsidRPr="00EC1A56">
        <w:rPr>
          <w:sz w:val="20"/>
          <w:szCs w:val="20"/>
          <w:lang w:val="en-US"/>
        </w:rPr>
        <w:t xml:space="preserve"> </w:t>
      </w:r>
    </w:p>
    <w:p w14:paraId="0ECBA255" w14:textId="77777777" w:rsidR="00241663" w:rsidRDefault="00241663" w:rsidP="00241663">
      <w:pPr>
        <w:rPr>
          <w:b/>
          <w:bCs/>
          <w:sz w:val="20"/>
          <w:szCs w:val="20"/>
        </w:rPr>
      </w:pPr>
    </w:p>
    <w:p w14:paraId="2EF2CF79" w14:textId="77777777" w:rsidR="00CD2E6A" w:rsidRDefault="00DF1B39" w:rsidP="00CD2E6A">
      <w:pPr>
        <w:spacing w:after="0" w:line="240" w:lineRule="auto"/>
        <w:rPr>
          <w:b/>
          <w:bCs/>
          <w:sz w:val="20"/>
          <w:szCs w:val="20"/>
        </w:rPr>
      </w:pPr>
      <w:r w:rsidRPr="00DE028F">
        <w:rPr>
          <w:b/>
          <w:bCs/>
          <w:sz w:val="20"/>
          <w:szCs w:val="20"/>
        </w:rPr>
        <w:t xml:space="preserve">Table </w:t>
      </w:r>
      <w:r w:rsidR="00FD7600">
        <w:rPr>
          <w:b/>
          <w:bCs/>
          <w:sz w:val="20"/>
          <w:szCs w:val="20"/>
        </w:rPr>
        <w:t>1</w:t>
      </w:r>
      <w:r w:rsidR="00CE0B1D">
        <w:rPr>
          <w:b/>
          <w:bCs/>
          <w:sz w:val="20"/>
          <w:szCs w:val="20"/>
        </w:rPr>
        <w:t>3</w:t>
      </w:r>
    </w:p>
    <w:p w14:paraId="7F3C7AB1" w14:textId="28A77EF8" w:rsidR="00DF1B39" w:rsidRPr="00DE028F" w:rsidRDefault="00235443" w:rsidP="00CD2E6A">
      <w:pPr>
        <w:spacing w:after="0" w:line="240" w:lineRule="auto"/>
        <w:rPr>
          <w:b/>
          <w:bCs/>
          <w:sz w:val="20"/>
          <w:szCs w:val="20"/>
        </w:rPr>
      </w:pPr>
      <w:r w:rsidRPr="00DE028F">
        <w:rPr>
          <w:b/>
          <w:bCs/>
          <w:sz w:val="20"/>
          <w:szCs w:val="20"/>
        </w:rPr>
        <w:t>Alberta potential royalties</w:t>
      </w:r>
      <w:r w:rsidR="00C35457">
        <w:rPr>
          <w:b/>
          <w:bCs/>
          <w:sz w:val="20"/>
          <w:szCs w:val="20"/>
        </w:rPr>
        <w:t>, 2016 to 2022</w:t>
      </w:r>
    </w:p>
    <w:tbl>
      <w:tblP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2224"/>
        <w:gridCol w:w="1756"/>
      </w:tblGrid>
      <w:tr w:rsidR="00D811D6" w:rsidRPr="00CD2E6A" w14:paraId="7B7B5BAD" w14:textId="77777777" w:rsidTr="00F30F31">
        <w:trPr>
          <w:trHeight w:val="260"/>
        </w:trPr>
        <w:tc>
          <w:tcPr>
            <w:tcW w:w="1780" w:type="dxa"/>
            <w:tcBorders>
              <w:top w:val="single" w:sz="4" w:space="0" w:color="auto"/>
              <w:left w:val="single" w:sz="4" w:space="0" w:color="auto"/>
              <w:bottom w:val="single" w:sz="4" w:space="0" w:color="auto"/>
              <w:right w:val="single" w:sz="4" w:space="0" w:color="auto"/>
            </w:tcBorders>
            <w:noWrap/>
            <w:vAlign w:val="bottom"/>
            <w:hideMark/>
          </w:tcPr>
          <w:p w14:paraId="18774D82" w14:textId="77777777" w:rsidR="00D811D6" w:rsidRPr="00CD2E6A" w:rsidRDefault="00D811D6" w:rsidP="00D811D6">
            <w:pPr>
              <w:spacing w:after="0" w:line="240" w:lineRule="auto"/>
              <w:rPr>
                <w:rFonts w:eastAsia="Times New Roman" w:cstheme="minorHAnsi"/>
                <w:sz w:val="20"/>
                <w:szCs w:val="20"/>
                <w:lang w:eastAsia="en-CA"/>
              </w:rPr>
            </w:pPr>
          </w:p>
        </w:tc>
        <w:tc>
          <w:tcPr>
            <w:tcW w:w="3980" w:type="dxa"/>
            <w:gridSpan w:val="2"/>
            <w:tcBorders>
              <w:left w:val="single" w:sz="4" w:space="0" w:color="auto"/>
            </w:tcBorders>
            <w:noWrap/>
            <w:vAlign w:val="center"/>
            <w:hideMark/>
          </w:tcPr>
          <w:p w14:paraId="33E536FD" w14:textId="3125E3CA" w:rsidR="00D811D6" w:rsidRPr="00CD2E6A" w:rsidRDefault="00D811D6" w:rsidP="00D811D6">
            <w:pPr>
              <w:spacing w:after="0" w:line="240" w:lineRule="auto"/>
              <w:jc w:val="center"/>
              <w:rPr>
                <w:rFonts w:eastAsia="Times New Roman" w:cstheme="minorHAnsi"/>
                <w:b/>
                <w:bCs/>
                <w:sz w:val="20"/>
                <w:szCs w:val="20"/>
                <w:lang w:eastAsia="en-CA"/>
              </w:rPr>
            </w:pPr>
            <w:r w:rsidRPr="00CD2E6A">
              <w:rPr>
                <w:rFonts w:eastAsia="Times New Roman" w:cstheme="minorHAnsi"/>
                <w:b/>
                <w:bCs/>
                <w:sz w:val="20"/>
                <w:szCs w:val="20"/>
                <w:lang w:eastAsia="en-CA"/>
              </w:rPr>
              <w:t xml:space="preserve">Sum of </w:t>
            </w:r>
            <w:r w:rsidR="001064C0">
              <w:rPr>
                <w:rFonts w:eastAsia="Times New Roman" w:cstheme="minorHAnsi"/>
                <w:b/>
                <w:bCs/>
                <w:sz w:val="20"/>
                <w:szCs w:val="20"/>
                <w:lang w:eastAsia="en-CA"/>
              </w:rPr>
              <w:t>r</w:t>
            </w:r>
            <w:r w:rsidRPr="00CD2E6A">
              <w:rPr>
                <w:rFonts w:eastAsia="Times New Roman" w:cstheme="minorHAnsi"/>
                <w:b/>
                <w:bCs/>
                <w:sz w:val="20"/>
                <w:szCs w:val="20"/>
                <w:lang w:eastAsia="en-CA"/>
              </w:rPr>
              <w:t xml:space="preserve">oyalty </w:t>
            </w:r>
            <w:r w:rsidR="001064C0">
              <w:rPr>
                <w:rFonts w:eastAsia="Times New Roman" w:cstheme="minorHAnsi"/>
                <w:b/>
                <w:bCs/>
                <w:sz w:val="20"/>
                <w:szCs w:val="20"/>
                <w:lang w:eastAsia="en-CA"/>
              </w:rPr>
              <w:t>p</w:t>
            </w:r>
            <w:r w:rsidRPr="00CD2E6A">
              <w:rPr>
                <w:rFonts w:eastAsia="Times New Roman" w:cstheme="minorHAnsi"/>
                <w:b/>
                <w:bCs/>
                <w:sz w:val="20"/>
                <w:szCs w:val="20"/>
                <w:lang w:eastAsia="en-CA"/>
              </w:rPr>
              <w:t xml:space="preserve">ayable </w:t>
            </w:r>
          </w:p>
        </w:tc>
      </w:tr>
      <w:tr w:rsidR="00D811D6" w:rsidRPr="00CD2E6A" w14:paraId="01C5A174" w14:textId="77777777" w:rsidTr="00CD2E6A">
        <w:trPr>
          <w:trHeight w:val="250"/>
        </w:trPr>
        <w:tc>
          <w:tcPr>
            <w:tcW w:w="1780" w:type="dxa"/>
            <w:tcBorders>
              <w:top w:val="single" w:sz="4" w:space="0" w:color="auto"/>
            </w:tcBorders>
            <w:noWrap/>
            <w:vAlign w:val="bottom"/>
            <w:hideMark/>
          </w:tcPr>
          <w:p w14:paraId="4678FEE6" w14:textId="0EE0F115" w:rsidR="00D811D6" w:rsidRPr="00CD2E6A" w:rsidRDefault="00CD2E6A" w:rsidP="009B4AE2">
            <w:pPr>
              <w:spacing w:after="0" w:line="240" w:lineRule="auto"/>
              <w:rPr>
                <w:rFonts w:eastAsia="Times New Roman" w:cstheme="minorHAnsi"/>
                <w:b/>
                <w:bCs/>
                <w:sz w:val="20"/>
                <w:szCs w:val="20"/>
                <w:lang w:eastAsia="en-CA"/>
              </w:rPr>
            </w:pPr>
            <w:r w:rsidRPr="00CD2E6A">
              <w:rPr>
                <w:rFonts w:eastAsia="Times New Roman" w:cstheme="minorHAnsi"/>
                <w:b/>
                <w:bCs/>
                <w:sz w:val="20"/>
                <w:szCs w:val="20"/>
                <w:lang w:eastAsia="en-CA"/>
              </w:rPr>
              <w:t>Year</w:t>
            </w:r>
          </w:p>
        </w:tc>
        <w:tc>
          <w:tcPr>
            <w:tcW w:w="2224" w:type="dxa"/>
            <w:noWrap/>
            <w:vAlign w:val="bottom"/>
            <w:hideMark/>
          </w:tcPr>
          <w:p w14:paraId="2AD78B8F" w14:textId="2B6960C3" w:rsidR="00D811D6" w:rsidRPr="00CD2E6A" w:rsidRDefault="00D811D6" w:rsidP="00CD2E6A">
            <w:pPr>
              <w:spacing w:after="0" w:line="240" w:lineRule="auto"/>
              <w:jc w:val="right"/>
              <w:rPr>
                <w:rFonts w:eastAsia="Times New Roman" w:cstheme="minorHAnsi"/>
                <w:b/>
                <w:bCs/>
                <w:sz w:val="20"/>
                <w:szCs w:val="20"/>
                <w:lang w:eastAsia="en-CA"/>
              </w:rPr>
            </w:pPr>
            <w:r w:rsidRPr="00CD2E6A">
              <w:rPr>
                <w:rFonts w:eastAsia="Times New Roman" w:cstheme="minorHAnsi"/>
                <w:b/>
                <w:bCs/>
                <w:sz w:val="20"/>
                <w:szCs w:val="20"/>
                <w:lang w:eastAsia="en-CA"/>
              </w:rPr>
              <w:t>Post-payout</w:t>
            </w:r>
          </w:p>
        </w:tc>
        <w:tc>
          <w:tcPr>
            <w:tcW w:w="1756" w:type="dxa"/>
            <w:noWrap/>
            <w:vAlign w:val="bottom"/>
            <w:hideMark/>
          </w:tcPr>
          <w:p w14:paraId="2A11A3CC" w14:textId="07093B0B" w:rsidR="00D811D6" w:rsidRPr="00CD2E6A" w:rsidRDefault="00D811D6" w:rsidP="00CD2E6A">
            <w:pPr>
              <w:spacing w:after="0" w:line="240" w:lineRule="auto"/>
              <w:jc w:val="right"/>
              <w:rPr>
                <w:rFonts w:eastAsia="Times New Roman" w:cstheme="minorHAnsi"/>
                <w:b/>
                <w:bCs/>
                <w:sz w:val="20"/>
                <w:szCs w:val="20"/>
                <w:lang w:eastAsia="en-CA"/>
              </w:rPr>
            </w:pPr>
            <w:r w:rsidRPr="00CD2E6A">
              <w:rPr>
                <w:rFonts w:eastAsia="Times New Roman" w:cstheme="minorHAnsi"/>
                <w:b/>
                <w:bCs/>
                <w:sz w:val="20"/>
                <w:szCs w:val="20"/>
                <w:lang w:eastAsia="en-CA"/>
              </w:rPr>
              <w:t>Pre-payout</w:t>
            </w:r>
          </w:p>
        </w:tc>
      </w:tr>
      <w:tr w:rsidR="00CD2E6A" w:rsidRPr="00CD2E6A" w14:paraId="30A6CD6F" w14:textId="77777777" w:rsidTr="009A698D">
        <w:trPr>
          <w:trHeight w:val="290"/>
        </w:trPr>
        <w:tc>
          <w:tcPr>
            <w:tcW w:w="1780" w:type="dxa"/>
            <w:noWrap/>
            <w:vAlign w:val="bottom"/>
          </w:tcPr>
          <w:p w14:paraId="49B0E73A" w14:textId="77777777" w:rsidR="00CD2E6A" w:rsidRPr="00CD2E6A" w:rsidRDefault="00CD2E6A" w:rsidP="00CD2E6A">
            <w:pPr>
              <w:spacing w:after="0" w:line="240" w:lineRule="auto"/>
              <w:rPr>
                <w:rFonts w:eastAsia="Times New Roman" w:cstheme="minorHAnsi"/>
                <w:sz w:val="20"/>
                <w:szCs w:val="20"/>
                <w:lang w:eastAsia="en-CA"/>
              </w:rPr>
            </w:pPr>
          </w:p>
        </w:tc>
        <w:tc>
          <w:tcPr>
            <w:tcW w:w="3980" w:type="dxa"/>
            <w:gridSpan w:val="2"/>
            <w:noWrap/>
            <w:vAlign w:val="bottom"/>
          </w:tcPr>
          <w:p w14:paraId="71825940" w14:textId="37EC6DEC" w:rsidR="00CD2E6A" w:rsidRPr="00CD2E6A" w:rsidRDefault="00CD2E6A" w:rsidP="00C32D45">
            <w:pPr>
              <w:spacing w:after="0" w:line="240" w:lineRule="auto"/>
              <w:jc w:val="center"/>
              <w:rPr>
                <w:rFonts w:eastAsia="Times New Roman" w:cstheme="minorHAnsi"/>
                <w:color w:val="000000"/>
                <w:sz w:val="20"/>
                <w:szCs w:val="20"/>
                <w:lang w:eastAsia="en-CA"/>
              </w:rPr>
            </w:pPr>
            <w:r w:rsidRPr="00CD2E6A">
              <w:rPr>
                <w:rFonts w:eastAsia="Times New Roman" w:cstheme="minorHAnsi"/>
                <w:color w:val="000000"/>
                <w:sz w:val="20"/>
                <w:szCs w:val="20"/>
                <w:lang w:eastAsia="en-CA"/>
              </w:rPr>
              <w:t>Canadian dollars</w:t>
            </w:r>
          </w:p>
        </w:tc>
      </w:tr>
      <w:tr w:rsidR="00D811D6" w:rsidRPr="00CD2E6A" w14:paraId="35FFC101" w14:textId="77777777" w:rsidTr="00CD2E6A">
        <w:trPr>
          <w:trHeight w:val="290"/>
        </w:trPr>
        <w:tc>
          <w:tcPr>
            <w:tcW w:w="1780" w:type="dxa"/>
            <w:noWrap/>
            <w:vAlign w:val="bottom"/>
            <w:hideMark/>
          </w:tcPr>
          <w:p w14:paraId="15CF988A" w14:textId="77777777" w:rsidR="00D811D6" w:rsidRPr="00CD2E6A" w:rsidRDefault="00D811D6" w:rsidP="00CD2E6A">
            <w:pPr>
              <w:spacing w:after="0" w:line="240" w:lineRule="auto"/>
              <w:rPr>
                <w:rFonts w:eastAsia="Times New Roman" w:cstheme="minorHAnsi"/>
                <w:sz w:val="20"/>
                <w:szCs w:val="20"/>
                <w:lang w:eastAsia="en-CA"/>
              </w:rPr>
            </w:pPr>
            <w:r w:rsidRPr="00CD2E6A">
              <w:rPr>
                <w:rFonts w:eastAsia="Times New Roman" w:cstheme="minorHAnsi"/>
                <w:sz w:val="20"/>
                <w:szCs w:val="20"/>
                <w:lang w:eastAsia="en-CA"/>
              </w:rPr>
              <w:t>2016</w:t>
            </w:r>
          </w:p>
        </w:tc>
        <w:tc>
          <w:tcPr>
            <w:tcW w:w="2224" w:type="dxa"/>
            <w:noWrap/>
            <w:vAlign w:val="bottom"/>
            <w:hideMark/>
          </w:tcPr>
          <w:p w14:paraId="581B9EDB" w14:textId="5EC3B1C3" w:rsidR="00D811D6" w:rsidRPr="00CD2E6A" w:rsidRDefault="00D811D6" w:rsidP="00CD2E6A">
            <w:pPr>
              <w:spacing w:after="0" w:line="240" w:lineRule="auto"/>
              <w:jc w:val="right"/>
              <w:rPr>
                <w:rFonts w:eastAsia="Times New Roman" w:cstheme="minorHAnsi"/>
                <w:color w:val="000000"/>
                <w:sz w:val="20"/>
                <w:szCs w:val="20"/>
                <w:lang w:eastAsia="en-CA"/>
              </w:rPr>
            </w:pPr>
            <w:r w:rsidRPr="00CD2E6A">
              <w:rPr>
                <w:rFonts w:eastAsia="Times New Roman" w:cstheme="minorHAnsi"/>
                <w:color w:val="000000"/>
                <w:sz w:val="20"/>
                <w:szCs w:val="20"/>
                <w:lang w:eastAsia="en-CA"/>
              </w:rPr>
              <w:t>686,399,948</w:t>
            </w:r>
          </w:p>
        </w:tc>
        <w:tc>
          <w:tcPr>
            <w:tcW w:w="1756" w:type="dxa"/>
            <w:noWrap/>
            <w:vAlign w:val="bottom"/>
            <w:hideMark/>
          </w:tcPr>
          <w:p w14:paraId="36AA154B" w14:textId="2D08F2DC" w:rsidR="00D811D6" w:rsidRPr="00CD2E6A" w:rsidRDefault="00D811D6" w:rsidP="00CD2E6A">
            <w:pPr>
              <w:spacing w:after="0" w:line="240" w:lineRule="auto"/>
              <w:jc w:val="right"/>
              <w:rPr>
                <w:rFonts w:eastAsia="Times New Roman" w:cstheme="minorHAnsi"/>
                <w:color w:val="000000"/>
                <w:sz w:val="20"/>
                <w:szCs w:val="20"/>
                <w:lang w:eastAsia="en-CA"/>
              </w:rPr>
            </w:pPr>
            <w:r w:rsidRPr="00CD2E6A">
              <w:rPr>
                <w:rFonts w:eastAsia="Times New Roman" w:cstheme="minorHAnsi"/>
                <w:color w:val="000000"/>
                <w:sz w:val="20"/>
                <w:szCs w:val="20"/>
                <w:lang w:eastAsia="en-CA"/>
              </w:rPr>
              <w:t>156,640,468</w:t>
            </w:r>
          </w:p>
        </w:tc>
      </w:tr>
      <w:tr w:rsidR="00D811D6" w:rsidRPr="00CD2E6A" w14:paraId="4BAE8F92" w14:textId="77777777" w:rsidTr="00CD2E6A">
        <w:trPr>
          <w:trHeight w:val="290"/>
        </w:trPr>
        <w:tc>
          <w:tcPr>
            <w:tcW w:w="1780" w:type="dxa"/>
            <w:noWrap/>
            <w:vAlign w:val="bottom"/>
            <w:hideMark/>
          </w:tcPr>
          <w:p w14:paraId="2F9C0647" w14:textId="77777777" w:rsidR="00D811D6" w:rsidRPr="00CD2E6A" w:rsidRDefault="00D811D6" w:rsidP="00CD2E6A">
            <w:pPr>
              <w:spacing w:after="0" w:line="240" w:lineRule="auto"/>
              <w:rPr>
                <w:rFonts w:eastAsia="Times New Roman" w:cstheme="minorHAnsi"/>
                <w:sz w:val="20"/>
                <w:szCs w:val="20"/>
                <w:lang w:eastAsia="en-CA"/>
              </w:rPr>
            </w:pPr>
            <w:r w:rsidRPr="00CD2E6A">
              <w:rPr>
                <w:rFonts w:eastAsia="Times New Roman" w:cstheme="minorHAnsi"/>
                <w:sz w:val="20"/>
                <w:szCs w:val="20"/>
                <w:lang w:eastAsia="en-CA"/>
              </w:rPr>
              <w:t>2017</w:t>
            </w:r>
          </w:p>
        </w:tc>
        <w:tc>
          <w:tcPr>
            <w:tcW w:w="2224" w:type="dxa"/>
            <w:noWrap/>
            <w:vAlign w:val="bottom"/>
            <w:hideMark/>
          </w:tcPr>
          <w:p w14:paraId="0FA98D24" w14:textId="4C347D22" w:rsidR="00D811D6" w:rsidRPr="00CD2E6A" w:rsidRDefault="00D811D6" w:rsidP="00CD2E6A">
            <w:pPr>
              <w:spacing w:after="0" w:line="240" w:lineRule="auto"/>
              <w:jc w:val="right"/>
              <w:rPr>
                <w:rFonts w:eastAsia="Times New Roman" w:cstheme="minorHAnsi"/>
                <w:color w:val="000000"/>
                <w:sz w:val="20"/>
                <w:szCs w:val="20"/>
                <w:lang w:eastAsia="en-CA"/>
              </w:rPr>
            </w:pPr>
            <w:r w:rsidRPr="00CD2E6A">
              <w:rPr>
                <w:rFonts w:eastAsia="Times New Roman" w:cstheme="minorHAnsi"/>
                <w:color w:val="000000"/>
                <w:sz w:val="20"/>
                <w:szCs w:val="20"/>
                <w:lang w:eastAsia="en-CA"/>
              </w:rPr>
              <w:t>2,075,768,277</w:t>
            </w:r>
          </w:p>
        </w:tc>
        <w:tc>
          <w:tcPr>
            <w:tcW w:w="1756" w:type="dxa"/>
            <w:noWrap/>
            <w:vAlign w:val="bottom"/>
            <w:hideMark/>
          </w:tcPr>
          <w:p w14:paraId="76984C28" w14:textId="72FE78BA" w:rsidR="00D811D6" w:rsidRPr="00CD2E6A" w:rsidRDefault="00D811D6" w:rsidP="00CD2E6A">
            <w:pPr>
              <w:spacing w:after="0" w:line="240" w:lineRule="auto"/>
              <w:jc w:val="right"/>
              <w:rPr>
                <w:rFonts w:eastAsia="Times New Roman" w:cstheme="minorHAnsi"/>
                <w:color w:val="000000"/>
                <w:sz w:val="20"/>
                <w:szCs w:val="20"/>
                <w:lang w:eastAsia="en-CA"/>
              </w:rPr>
            </w:pPr>
            <w:r w:rsidRPr="00CD2E6A">
              <w:rPr>
                <w:rFonts w:eastAsia="Times New Roman" w:cstheme="minorHAnsi"/>
                <w:color w:val="000000"/>
                <w:sz w:val="20"/>
                <w:szCs w:val="20"/>
                <w:lang w:eastAsia="en-CA"/>
              </w:rPr>
              <w:t>404,483,276</w:t>
            </w:r>
          </w:p>
        </w:tc>
      </w:tr>
      <w:tr w:rsidR="00D811D6" w:rsidRPr="00CD2E6A" w14:paraId="2A9DA39D" w14:textId="77777777" w:rsidTr="00CD2E6A">
        <w:trPr>
          <w:trHeight w:val="300"/>
        </w:trPr>
        <w:tc>
          <w:tcPr>
            <w:tcW w:w="1780" w:type="dxa"/>
            <w:noWrap/>
            <w:vAlign w:val="bottom"/>
            <w:hideMark/>
          </w:tcPr>
          <w:p w14:paraId="02C6A364" w14:textId="77777777" w:rsidR="00D811D6" w:rsidRPr="00CD2E6A" w:rsidRDefault="00D811D6" w:rsidP="00CD2E6A">
            <w:pPr>
              <w:spacing w:after="0" w:line="240" w:lineRule="auto"/>
              <w:rPr>
                <w:rFonts w:eastAsia="Times New Roman" w:cstheme="minorHAnsi"/>
                <w:sz w:val="20"/>
                <w:szCs w:val="20"/>
                <w:lang w:eastAsia="en-CA"/>
              </w:rPr>
            </w:pPr>
            <w:r w:rsidRPr="00CD2E6A">
              <w:rPr>
                <w:rFonts w:eastAsia="Times New Roman" w:cstheme="minorHAnsi"/>
                <w:sz w:val="20"/>
                <w:szCs w:val="20"/>
                <w:lang w:eastAsia="en-CA"/>
              </w:rPr>
              <w:t>2018</w:t>
            </w:r>
          </w:p>
        </w:tc>
        <w:tc>
          <w:tcPr>
            <w:tcW w:w="2224" w:type="dxa"/>
            <w:noWrap/>
            <w:vAlign w:val="bottom"/>
            <w:hideMark/>
          </w:tcPr>
          <w:p w14:paraId="1976F485" w14:textId="3BACAB3A" w:rsidR="00D811D6" w:rsidRPr="00CD2E6A" w:rsidRDefault="00D811D6" w:rsidP="00CD2E6A">
            <w:pPr>
              <w:spacing w:after="0" w:line="240" w:lineRule="auto"/>
              <w:jc w:val="right"/>
              <w:rPr>
                <w:rFonts w:eastAsia="Times New Roman" w:cstheme="minorHAnsi"/>
                <w:color w:val="000000"/>
                <w:sz w:val="20"/>
                <w:szCs w:val="20"/>
                <w:lang w:eastAsia="en-CA"/>
              </w:rPr>
            </w:pPr>
            <w:r w:rsidRPr="00CD2E6A">
              <w:rPr>
                <w:rFonts w:eastAsia="Times New Roman" w:cstheme="minorHAnsi"/>
                <w:color w:val="000000"/>
                <w:sz w:val="20"/>
                <w:szCs w:val="20"/>
                <w:lang w:eastAsia="en-CA"/>
              </w:rPr>
              <w:t>1,780,387,244</w:t>
            </w:r>
          </w:p>
        </w:tc>
        <w:tc>
          <w:tcPr>
            <w:tcW w:w="1756" w:type="dxa"/>
            <w:noWrap/>
            <w:vAlign w:val="bottom"/>
            <w:hideMark/>
          </w:tcPr>
          <w:p w14:paraId="038F46D9" w14:textId="0E4D4173" w:rsidR="00D811D6" w:rsidRPr="00CD2E6A" w:rsidRDefault="00D811D6" w:rsidP="00CD2E6A">
            <w:pPr>
              <w:spacing w:after="0" w:line="240" w:lineRule="auto"/>
              <w:jc w:val="right"/>
              <w:rPr>
                <w:rFonts w:eastAsia="Times New Roman" w:cstheme="minorHAnsi"/>
                <w:color w:val="000000"/>
                <w:sz w:val="20"/>
                <w:szCs w:val="20"/>
                <w:lang w:eastAsia="en-CA"/>
              </w:rPr>
            </w:pPr>
            <w:r w:rsidRPr="00CD2E6A">
              <w:rPr>
                <w:rFonts w:eastAsia="Times New Roman" w:cstheme="minorHAnsi"/>
                <w:color w:val="000000"/>
                <w:sz w:val="20"/>
                <w:szCs w:val="20"/>
                <w:lang w:eastAsia="en-CA"/>
              </w:rPr>
              <w:t>935,768,833</w:t>
            </w:r>
          </w:p>
        </w:tc>
      </w:tr>
      <w:tr w:rsidR="00D811D6" w:rsidRPr="00CD2E6A" w14:paraId="43B774C8" w14:textId="77777777" w:rsidTr="00CD2E6A">
        <w:trPr>
          <w:trHeight w:val="290"/>
        </w:trPr>
        <w:tc>
          <w:tcPr>
            <w:tcW w:w="1780" w:type="dxa"/>
            <w:noWrap/>
            <w:vAlign w:val="bottom"/>
            <w:hideMark/>
          </w:tcPr>
          <w:p w14:paraId="7C9A7B06" w14:textId="77777777" w:rsidR="00D811D6" w:rsidRPr="00CD2E6A" w:rsidRDefault="00D811D6" w:rsidP="00CD2E6A">
            <w:pPr>
              <w:spacing w:after="0" w:line="240" w:lineRule="auto"/>
              <w:rPr>
                <w:rFonts w:eastAsia="Times New Roman" w:cstheme="minorHAnsi"/>
                <w:sz w:val="20"/>
                <w:szCs w:val="20"/>
                <w:lang w:eastAsia="en-CA"/>
              </w:rPr>
            </w:pPr>
            <w:r w:rsidRPr="00CD2E6A">
              <w:rPr>
                <w:rFonts w:eastAsia="Times New Roman" w:cstheme="minorHAnsi"/>
                <w:sz w:val="20"/>
                <w:szCs w:val="20"/>
                <w:lang w:eastAsia="en-CA"/>
              </w:rPr>
              <w:t>2019</w:t>
            </w:r>
          </w:p>
        </w:tc>
        <w:tc>
          <w:tcPr>
            <w:tcW w:w="2224" w:type="dxa"/>
            <w:noWrap/>
            <w:vAlign w:val="bottom"/>
            <w:hideMark/>
          </w:tcPr>
          <w:p w14:paraId="4D6E8FD6" w14:textId="29A244F3" w:rsidR="00D811D6" w:rsidRPr="00CD2E6A" w:rsidRDefault="00D811D6" w:rsidP="00CD2E6A">
            <w:pPr>
              <w:spacing w:after="0" w:line="240" w:lineRule="auto"/>
              <w:jc w:val="right"/>
              <w:rPr>
                <w:rFonts w:eastAsia="Times New Roman" w:cstheme="minorHAnsi"/>
                <w:color w:val="000000"/>
                <w:sz w:val="20"/>
                <w:szCs w:val="20"/>
                <w:lang w:eastAsia="en-CA"/>
              </w:rPr>
            </w:pPr>
            <w:r w:rsidRPr="00CD2E6A">
              <w:rPr>
                <w:rFonts w:eastAsia="Times New Roman" w:cstheme="minorHAnsi"/>
                <w:color w:val="000000"/>
                <w:sz w:val="20"/>
                <w:szCs w:val="20"/>
                <w:lang w:eastAsia="en-CA"/>
              </w:rPr>
              <w:t>3,994,336,882</w:t>
            </w:r>
          </w:p>
        </w:tc>
        <w:tc>
          <w:tcPr>
            <w:tcW w:w="1756" w:type="dxa"/>
            <w:noWrap/>
            <w:vAlign w:val="bottom"/>
            <w:hideMark/>
          </w:tcPr>
          <w:p w14:paraId="2590EBEC" w14:textId="03151ACF" w:rsidR="00D811D6" w:rsidRPr="00CD2E6A" w:rsidRDefault="00D811D6" w:rsidP="00CD2E6A">
            <w:pPr>
              <w:spacing w:after="0" w:line="240" w:lineRule="auto"/>
              <w:jc w:val="right"/>
              <w:rPr>
                <w:rFonts w:eastAsia="Times New Roman" w:cstheme="minorHAnsi"/>
                <w:color w:val="000000"/>
                <w:sz w:val="20"/>
                <w:szCs w:val="20"/>
                <w:lang w:eastAsia="en-CA"/>
              </w:rPr>
            </w:pPr>
            <w:r w:rsidRPr="00CD2E6A">
              <w:rPr>
                <w:rFonts w:eastAsia="Times New Roman" w:cstheme="minorHAnsi"/>
                <w:color w:val="000000"/>
                <w:sz w:val="20"/>
                <w:szCs w:val="20"/>
                <w:lang w:eastAsia="en-CA"/>
              </w:rPr>
              <w:t>826,556,893</w:t>
            </w:r>
          </w:p>
        </w:tc>
      </w:tr>
      <w:tr w:rsidR="00D811D6" w:rsidRPr="00CD2E6A" w14:paraId="7D55B61B" w14:textId="77777777" w:rsidTr="00CD2E6A">
        <w:trPr>
          <w:trHeight w:val="290"/>
        </w:trPr>
        <w:tc>
          <w:tcPr>
            <w:tcW w:w="1780" w:type="dxa"/>
            <w:noWrap/>
            <w:vAlign w:val="bottom"/>
            <w:hideMark/>
          </w:tcPr>
          <w:p w14:paraId="7007F166" w14:textId="77777777" w:rsidR="00D811D6" w:rsidRPr="00CD2E6A" w:rsidRDefault="00D811D6" w:rsidP="00CD2E6A">
            <w:pPr>
              <w:spacing w:after="0" w:line="240" w:lineRule="auto"/>
              <w:rPr>
                <w:rFonts w:eastAsia="Times New Roman" w:cstheme="minorHAnsi"/>
                <w:sz w:val="20"/>
                <w:szCs w:val="20"/>
                <w:lang w:eastAsia="en-CA"/>
              </w:rPr>
            </w:pPr>
            <w:r w:rsidRPr="00CD2E6A">
              <w:rPr>
                <w:rFonts w:eastAsia="Times New Roman" w:cstheme="minorHAnsi"/>
                <w:sz w:val="20"/>
                <w:szCs w:val="20"/>
                <w:lang w:eastAsia="en-CA"/>
              </w:rPr>
              <w:t>2020</w:t>
            </w:r>
          </w:p>
        </w:tc>
        <w:tc>
          <w:tcPr>
            <w:tcW w:w="2224" w:type="dxa"/>
            <w:noWrap/>
            <w:vAlign w:val="bottom"/>
            <w:hideMark/>
          </w:tcPr>
          <w:p w14:paraId="7BC4C099" w14:textId="5DE25799" w:rsidR="00D811D6" w:rsidRPr="00CD2E6A" w:rsidRDefault="00D811D6" w:rsidP="00CD2E6A">
            <w:pPr>
              <w:spacing w:after="0" w:line="240" w:lineRule="auto"/>
              <w:jc w:val="right"/>
              <w:rPr>
                <w:rFonts w:eastAsia="Times New Roman" w:cstheme="minorHAnsi"/>
                <w:sz w:val="20"/>
                <w:szCs w:val="20"/>
                <w:lang w:eastAsia="en-CA"/>
              </w:rPr>
            </w:pPr>
            <w:r w:rsidRPr="00CD2E6A">
              <w:rPr>
                <w:rFonts w:eastAsia="Times New Roman" w:cstheme="minorHAnsi"/>
                <w:sz w:val="20"/>
                <w:szCs w:val="20"/>
                <w:lang w:eastAsia="en-CA"/>
              </w:rPr>
              <w:t>898,858,546</w:t>
            </w:r>
          </w:p>
        </w:tc>
        <w:tc>
          <w:tcPr>
            <w:tcW w:w="1756" w:type="dxa"/>
            <w:noWrap/>
            <w:vAlign w:val="bottom"/>
            <w:hideMark/>
          </w:tcPr>
          <w:p w14:paraId="461DB92C" w14:textId="019A4F45" w:rsidR="00D811D6" w:rsidRPr="00CD2E6A" w:rsidRDefault="00D811D6" w:rsidP="00CD2E6A">
            <w:pPr>
              <w:spacing w:after="0" w:line="240" w:lineRule="auto"/>
              <w:jc w:val="right"/>
              <w:rPr>
                <w:rFonts w:eastAsia="Times New Roman" w:cstheme="minorHAnsi"/>
                <w:sz w:val="20"/>
                <w:szCs w:val="20"/>
                <w:lang w:eastAsia="en-CA"/>
              </w:rPr>
            </w:pPr>
            <w:r w:rsidRPr="00CD2E6A">
              <w:rPr>
                <w:rFonts w:eastAsia="Times New Roman" w:cstheme="minorHAnsi"/>
                <w:sz w:val="20"/>
                <w:szCs w:val="20"/>
                <w:lang w:eastAsia="en-CA"/>
              </w:rPr>
              <w:t>165,363,577</w:t>
            </w:r>
          </w:p>
        </w:tc>
      </w:tr>
      <w:tr w:rsidR="00D811D6" w:rsidRPr="00CD2E6A" w14:paraId="19F8D92B" w14:textId="77777777" w:rsidTr="00CD2E6A">
        <w:trPr>
          <w:trHeight w:val="290"/>
        </w:trPr>
        <w:tc>
          <w:tcPr>
            <w:tcW w:w="1780" w:type="dxa"/>
            <w:noWrap/>
            <w:vAlign w:val="bottom"/>
            <w:hideMark/>
          </w:tcPr>
          <w:p w14:paraId="5C3823F1" w14:textId="77777777" w:rsidR="00D811D6" w:rsidRPr="00CD2E6A" w:rsidRDefault="00D811D6" w:rsidP="00CD2E6A">
            <w:pPr>
              <w:spacing w:after="0" w:line="240" w:lineRule="auto"/>
              <w:rPr>
                <w:rFonts w:eastAsia="Times New Roman" w:cstheme="minorHAnsi"/>
                <w:sz w:val="20"/>
                <w:szCs w:val="20"/>
                <w:lang w:eastAsia="en-CA"/>
              </w:rPr>
            </w:pPr>
            <w:r w:rsidRPr="00CD2E6A">
              <w:rPr>
                <w:rFonts w:eastAsia="Times New Roman" w:cstheme="minorHAnsi"/>
                <w:sz w:val="20"/>
                <w:szCs w:val="20"/>
                <w:lang w:eastAsia="en-CA"/>
              </w:rPr>
              <w:t>2021</w:t>
            </w:r>
          </w:p>
        </w:tc>
        <w:tc>
          <w:tcPr>
            <w:tcW w:w="2224" w:type="dxa"/>
            <w:noWrap/>
            <w:vAlign w:val="bottom"/>
            <w:hideMark/>
          </w:tcPr>
          <w:p w14:paraId="70C7B162" w14:textId="7F4EB9F5" w:rsidR="00D811D6" w:rsidRPr="00CD2E6A" w:rsidRDefault="00D811D6" w:rsidP="00CD2E6A">
            <w:pPr>
              <w:spacing w:after="0" w:line="240" w:lineRule="auto"/>
              <w:jc w:val="right"/>
              <w:rPr>
                <w:rFonts w:eastAsia="Times New Roman" w:cstheme="minorHAnsi"/>
                <w:sz w:val="20"/>
                <w:szCs w:val="20"/>
                <w:lang w:eastAsia="en-CA"/>
              </w:rPr>
            </w:pPr>
            <w:r w:rsidRPr="00CD2E6A">
              <w:rPr>
                <w:rFonts w:eastAsia="Times New Roman" w:cstheme="minorHAnsi"/>
                <w:sz w:val="20"/>
                <w:szCs w:val="20"/>
                <w:lang w:eastAsia="en-CA"/>
              </w:rPr>
              <w:t>6,643,973,630</w:t>
            </w:r>
          </w:p>
        </w:tc>
        <w:tc>
          <w:tcPr>
            <w:tcW w:w="1756" w:type="dxa"/>
            <w:noWrap/>
            <w:vAlign w:val="bottom"/>
            <w:hideMark/>
          </w:tcPr>
          <w:p w14:paraId="37ECFED4" w14:textId="75CE24D4" w:rsidR="00D811D6" w:rsidRPr="00CD2E6A" w:rsidRDefault="00D811D6" w:rsidP="00CD2E6A">
            <w:pPr>
              <w:spacing w:after="0" w:line="240" w:lineRule="auto"/>
              <w:jc w:val="right"/>
              <w:rPr>
                <w:rFonts w:eastAsia="Times New Roman" w:cstheme="minorHAnsi"/>
                <w:sz w:val="20"/>
                <w:szCs w:val="20"/>
                <w:lang w:eastAsia="en-CA"/>
              </w:rPr>
            </w:pPr>
            <w:r w:rsidRPr="00CD2E6A">
              <w:rPr>
                <w:rFonts w:eastAsia="Times New Roman" w:cstheme="minorHAnsi"/>
                <w:sz w:val="20"/>
                <w:szCs w:val="20"/>
                <w:lang w:eastAsia="en-CA"/>
              </w:rPr>
              <w:t>1,123,325,525</w:t>
            </w:r>
          </w:p>
        </w:tc>
      </w:tr>
      <w:tr w:rsidR="00D811D6" w:rsidRPr="00CD2E6A" w14:paraId="7F7AE4CB" w14:textId="77777777" w:rsidTr="00CD2E6A">
        <w:trPr>
          <w:trHeight w:val="300"/>
        </w:trPr>
        <w:tc>
          <w:tcPr>
            <w:tcW w:w="1780" w:type="dxa"/>
            <w:noWrap/>
            <w:vAlign w:val="bottom"/>
            <w:hideMark/>
          </w:tcPr>
          <w:p w14:paraId="7AB00B67" w14:textId="77777777" w:rsidR="00D811D6" w:rsidRPr="00CD2E6A" w:rsidRDefault="00D811D6" w:rsidP="00CD2E6A">
            <w:pPr>
              <w:spacing w:after="0" w:line="240" w:lineRule="auto"/>
              <w:rPr>
                <w:rFonts w:eastAsia="Times New Roman" w:cstheme="minorHAnsi"/>
                <w:sz w:val="20"/>
                <w:szCs w:val="20"/>
                <w:lang w:eastAsia="en-CA"/>
              </w:rPr>
            </w:pPr>
            <w:r w:rsidRPr="00CD2E6A">
              <w:rPr>
                <w:rFonts w:eastAsia="Times New Roman" w:cstheme="minorHAnsi"/>
                <w:sz w:val="20"/>
                <w:szCs w:val="20"/>
                <w:lang w:eastAsia="en-CA"/>
              </w:rPr>
              <w:t>2022</w:t>
            </w:r>
          </w:p>
        </w:tc>
        <w:tc>
          <w:tcPr>
            <w:tcW w:w="2224" w:type="dxa"/>
            <w:noWrap/>
            <w:vAlign w:val="bottom"/>
            <w:hideMark/>
          </w:tcPr>
          <w:p w14:paraId="4EB264E1" w14:textId="2759154F" w:rsidR="00D811D6" w:rsidRPr="00CD2E6A" w:rsidRDefault="00D811D6" w:rsidP="00CD2E6A">
            <w:pPr>
              <w:spacing w:after="0" w:line="240" w:lineRule="auto"/>
              <w:jc w:val="right"/>
              <w:rPr>
                <w:rFonts w:eastAsia="Times New Roman" w:cstheme="minorHAnsi"/>
                <w:sz w:val="20"/>
                <w:szCs w:val="20"/>
                <w:lang w:eastAsia="en-CA"/>
              </w:rPr>
            </w:pPr>
            <w:r w:rsidRPr="00CD2E6A">
              <w:rPr>
                <w:rFonts w:eastAsia="Times New Roman" w:cstheme="minorHAnsi"/>
                <w:sz w:val="20"/>
                <w:szCs w:val="20"/>
                <w:lang w:eastAsia="en-CA"/>
              </w:rPr>
              <w:t>16,823,634,259</w:t>
            </w:r>
          </w:p>
        </w:tc>
        <w:tc>
          <w:tcPr>
            <w:tcW w:w="1756" w:type="dxa"/>
            <w:noWrap/>
            <w:vAlign w:val="bottom"/>
            <w:hideMark/>
          </w:tcPr>
          <w:p w14:paraId="2CD4EC53" w14:textId="6C95D5C6" w:rsidR="00D811D6" w:rsidRPr="00CD2E6A" w:rsidRDefault="00D811D6" w:rsidP="00CD2E6A">
            <w:pPr>
              <w:spacing w:after="0" w:line="240" w:lineRule="auto"/>
              <w:jc w:val="right"/>
              <w:rPr>
                <w:rFonts w:eastAsia="Times New Roman" w:cstheme="minorHAnsi"/>
                <w:sz w:val="20"/>
                <w:szCs w:val="20"/>
                <w:lang w:eastAsia="en-CA"/>
              </w:rPr>
            </w:pPr>
            <w:r w:rsidRPr="00CD2E6A">
              <w:rPr>
                <w:rFonts w:eastAsia="Times New Roman" w:cstheme="minorHAnsi"/>
                <w:sz w:val="20"/>
                <w:szCs w:val="20"/>
                <w:lang w:eastAsia="en-CA"/>
              </w:rPr>
              <w:t>2,289,288,960</w:t>
            </w:r>
          </w:p>
        </w:tc>
      </w:tr>
    </w:tbl>
    <w:p w14:paraId="5747311A" w14:textId="02927911" w:rsidR="00D811D6" w:rsidRPr="00CD2E6A" w:rsidRDefault="00112CB9" w:rsidP="003A3324">
      <w:pPr>
        <w:spacing w:after="0" w:line="240" w:lineRule="auto"/>
        <w:rPr>
          <w:sz w:val="20"/>
          <w:szCs w:val="20"/>
        </w:rPr>
      </w:pPr>
      <w:r w:rsidRPr="003A3324">
        <w:rPr>
          <w:b/>
          <w:bCs/>
          <w:sz w:val="20"/>
          <w:szCs w:val="20"/>
        </w:rPr>
        <w:t>Note:</w:t>
      </w:r>
      <w:r w:rsidRPr="00112CB9">
        <w:rPr>
          <w:b/>
          <w:bCs/>
          <w:sz w:val="20"/>
          <w:szCs w:val="20"/>
        </w:rPr>
        <w:t xml:space="preserve"> </w:t>
      </w:r>
      <w:r w:rsidRPr="00CD2E6A">
        <w:rPr>
          <w:sz w:val="20"/>
          <w:szCs w:val="20"/>
        </w:rPr>
        <w:t>Sum of royalties that should be paid based on project revenue and project costs. Post-payout projects include gross revenue and net revenue royalties, summed. Pre-payout projects include gross revenue royalty only.</w:t>
      </w:r>
    </w:p>
    <w:p w14:paraId="4D12E386" w14:textId="5B99CAE2" w:rsidR="003A3324" w:rsidRDefault="003A3324" w:rsidP="003A3324">
      <w:pPr>
        <w:spacing w:after="0" w:line="240" w:lineRule="auto"/>
        <w:rPr>
          <w:b/>
          <w:bCs/>
          <w:sz w:val="20"/>
          <w:szCs w:val="20"/>
        </w:rPr>
      </w:pPr>
      <w:r>
        <w:rPr>
          <w:b/>
          <w:bCs/>
          <w:sz w:val="20"/>
          <w:szCs w:val="20"/>
        </w:rPr>
        <w:t xml:space="preserve">Source: </w:t>
      </w:r>
      <w:r w:rsidR="00EC1A56" w:rsidRPr="00FA3622">
        <w:rPr>
          <w:sz w:val="20"/>
          <w:szCs w:val="20"/>
        </w:rPr>
        <w:t>Government of Alberta, Alberta Oil Sands Royalty Data</w:t>
      </w:r>
      <w:r w:rsidR="00EC1A56">
        <w:rPr>
          <w:b/>
          <w:bCs/>
          <w:sz w:val="20"/>
          <w:szCs w:val="20"/>
        </w:rPr>
        <w:t xml:space="preserve"> </w:t>
      </w:r>
      <w:hyperlink r:id="rId25" w:history="1">
        <w:r w:rsidRPr="00CD2E6A">
          <w:rPr>
            <w:rStyle w:val="Hyperlink"/>
            <w:sz w:val="20"/>
            <w:szCs w:val="20"/>
          </w:rPr>
          <w:t>Alberta Oil sands project database</w:t>
        </w:r>
      </w:hyperlink>
      <w:r w:rsidRPr="00CD2E6A">
        <w:rPr>
          <w:sz w:val="20"/>
          <w:szCs w:val="20"/>
        </w:rPr>
        <w:t>.</w:t>
      </w:r>
      <w:r w:rsidR="00EC1A56" w:rsidRPr="00EC1A56">
        <w:rPr>
          <w:sz w:val="20"/>
          <w:szCs w:val="20"/>
          <w:lang w:val="en-US"/>
        </w:rPr>
        <w:t xml:space="preserve"> </w:t>
      </w:r>
    </w:p>
    <w:p w14:paraId="2B3380B1" w14:textId="77777777" w:rsidR="00DF1B39" w:rsidRDefault="00DF1B39" w:rsidP="000A3F4F">
      <w:pPr>
        <w:spacing w:afterLines="40" w:after="96" w:line="240" w:lineRule="auto"/>
        <w:rPr>
          <w:sz w:val="20"/>
          <w:szCs w:val="20"/>
        </w:rPr>
      </w:pPr>
    </w:p>
    <w:p w14:paraId="54195BFB" w14:textId="77777777" w:rsidR="00F30F31" w:rsidRDefault="00DF1B39" w:rsidP="009B4AE2">
      <w:pPr>
        <w:spacing w:after="0" w:line="240" w:lineRule="auto"/>
        <w:rPr>
          <w:b/>
          <w:bCs/>
          <w:sz w:val="20"/>
          <w:szCs w:val="20"/>
        </w:rPr>
      </w:pPr>
      <w:r w:rsidRPr="00DE028F">
        <w:rPr>
          <w:b/>
          <w:bCs/>
          <w:sz w:val="20"/>
          <w:szCs w:val="20"/>
        </w:rPr>
        <w:t xml:space="preserve">Table </w:t>
      </w:r>
      <w:r w:rsidR="00FD7600">
        <w:rPr>
          <w:b/>
          <w:bCs/>
          <w:sz w:val="20"/>
          <w:szCs w:val="20"/>
        </w:rPr>
        <w:t>1</w:t>
      </w:r>
      <w:r w:rsidR="00CE0B1D">
        <w:rPr>
          <w:b/>
          <w:bCs/>
          <w:sz w:val="20"/>
          <w:szCs w:val="20"/>
        </w:rPr>
        <w:t>4</w:t>
      </w:r>
    </w:p>
    <w:p w14:paraId="3D0EEA9C" w14:textId="53488920" w:rsidR="00DF1B39" w:rsidRDefault="00DF1B39" w:rsidP="009B4AE2">
      <w:pPr>
        <w:spacing w:after="0" w:line="240" w:lineRule="auto"/>
        <w:rPr>
          <w:b/>
          <w:bCs/>
          <w:sz w:val="20"/>
          <w:szCs w:val="20"/>
        </w:rPr>
      </w:pPr>
      <w:r w:rsidRPr="00DE028F">
        <w:rPr>
          <w:b/>
          <w:bCs/>
          <w:sz w:val="20"/>
          <w:szCs w:val="20"/>
        </w:rPr>
        <w:t xml:space="preserve"> </w:t>
      </w:r>
      <w:r w:rsidR="00C35457">
        <w:rPr>
          <w:b/>
          <w:bCs/>
          <w:sz w:val="20"/>
          <w:szCs w:val="20"/>
        </w:rPr>
        <w:t>Comparison of oil sands royalties, by data source, 2016 to 2022</w:t>
      </w:r>
    </w:p>
    <w:tbl>
      <w:tblPr>
        <w:tblW w:w="6080" w:type="dxa"/>
        <w:tblInd w:w="-10" w:type="dxa"/>
        <w:tblLook w:val="04A0" w:firstRow="1" w:lastRow="0" w:firstColumn="1" w:lastColumn="0" w:noHBand="0" w:noVBand="1"/>
      </w:tblPr>
      <w:tblGrid>
        <w:gridCol w:w="960"/>
        <w:gridCol w:w="1700"/>
        <w:gridCol w:w="1700"/>
        <w:gridCol w:w="1720"/>
      </w:tblGrid>
      <w:tr w:rsidR="002F2129" w:rsidRPr="009B4AE2" w14:paraId="253DD252" w14:textId="77777777" w:rsidTr="002F2129">
        <w:trPr>
          <w:trHeight w:val="51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E000565" w14:textId="77777777" w:rsidR="002F2129" w:rsidRPr="009B4AE2" w:rsidRDefault="002F2129" w:rsidP="002F2129">
            <w:pPr>
              <w:spacing w:after="0" w:line="240" w:lineRule="auto"/>
              <w:rPr>
                <w:rFonts w:eastAsia="Times New Roman" w:cstheme="minorHAnsi"/>
                <w:sz w:val="20"/>
                <w:szCs w:val="20"/>
                <w:lang w:eastAsia="en-CA"/>
              </w:rPr>
            </w:pPr>
            <w:r w:rsidRPr="009B4AE2">
              <w:rPr>
                <w:rFonts w:eastAsia="Times New Roman" w:cstheme="minorHAnsi"/>
                <w:sz w:val="20"/>
                <w:szCs w:val="20"/>
                <w:lang w:eastAsia="en-CA"/>
              </w:rPr>
              <w:t> </w:t>
            </w:r>
          </w:p>
        </w:tc>
        <w:tc>
          <w:tcPr>
            <w:tcW w:w="1700" w:type="dxa"/>
            <w:tcBorders>
              <w:top w:val="single" w:sz="4" w:space="0" w:color="auto"/>
              <w:left w:val="nil"/>
              <w:bottom w:val="single" w:sz="4" w:space="0" w:color="auto"/>
              <w:right w:val="single" w:sz="4" w:space="0" w:color="auto"/>
            </w:tcBorders>
            <w:vAlign w:val="center"/>
            <w:hideMark/>
          </w:tcPr>
          <w:p w14:paraId="61DBEAD3" w14:textId="271DD38D" w:rsidR="002F2129" w:rsidRPr="009B4AE2" w:rsidRDefault="009B4AE2" w:rsidP="002F2129">
            <w:pPr>
              <w:spacing w:after="0" w:line="240" w:lineRule="auto"/>
              <w:jc w:val="center"/>
              <w:rPr>
                <w:rFonts w:eastAsia="Times New Roman" w:cstheme="minorHAnsi"/>
                <w:b/>
                <w:bCs/>
                <w:sz w:val="20"/>
                <w:szCs w:val="20"/>
                <w:lang w:eastAsia="en-CA"/>
              </w:rPr>
            </w:pPr>
            <w:r>
              <w:rPr>
                <w:rFonts w:eastAsia="Times New Roman" w:cstheme="minorHAnsi"/>
                <w:b/>
                <w:bCs/>
                <w:sz w:val="20"/>
                <w:szCs w:val="20"/>
                <w:lang w:eastAsia="en-CA"/>
              </w:rPr>
              <w:t>CAPP royalties</w:t>
            </w:r>
          </w:p>
        </w:tc>
        <w:tc>
          <w:tcPr>
            <w:tcW w:w="1700" w:type="dxa"/>
            <w:tcBorders>
              <w:top w:val="single" w:sz="4" w:space="0" w:color="auto"/>
              <w:left w:val="nil"/>
              <w:bottom w:val="single" w:sz="4" w:space="0" w:color="auto"/>
              <w:right w:val="single" w:sz="4" w:space="0" w:color="auto"/>
            </w:tcBorders>
            <w:vAlign w:val="center"/>
            <w:hideMark/>
          </w:tcPr>
          <w:p w14:paraId="4CCC99A9" w14:textId="365D95FF" w:rsidR="002F2129" w:rsidRPr="009B4AE2" w:rsidRDefault="002F2129" w:rsidP="002F2129">
            <w:pPr>
              <w:spacing w:after="0" w:line="240" w:lineRule="auto"/>
              <w:jc w:val="center"/>
              <w:rPr>
                <w:rFonts w:eastAsia="Times New Roman" w:cstheme="minorHAnsi"/>
                <w:b/>
                <w:bCs/>
                <w:sz w:val="20"/>
                <w:szCs w:val="20"/>
                <w:lang w:eastAsia="en-CA"/>
              </w:rPr>
            </w:pPr>
            <w:r w:rsidRPr="009B4AE2">
              <w:rPr>
                <w:rFonts w:eastAsia="Times New Roman" w:cstheme="minorHAnsi"/>
                <w:b/>
                <w:bCs/>
                <w:sz w:val="20"/>
                <w:szCs w:val="20"/>
                <w:lang w:eastAsia="en-CA"/>
              </w:rPr>
              <w:t>Alberta</w:t>
            </w:r>
            <w:r w:rsidR="009B4AE2">
              <w:rPr>
                <w:rFonts w:eastAsia="Times New Roman" w:cstheme="minorHAnsi"/>
                <w:b/>
                <w:bCs/>
                <w:sz w:val="20"/>
                <w:szCs w:val="20"/>
                <w:lang w:eastAsia="en-CA"/>
              </w:rPr>
              <w:t xml:space="preserve"> </w:t>
            </w:r>
            <w:r w:rsidRPr="009B4AE2">
              <w:rPr>
                <w:rFonts w:eastAsia="Times New Roman" w:cstheme="minorHAnsi"/>
                <w:b/>
                <w:bCs/>
                <w:sz w:val="20"/>
                <w:szCs w:val="20"/>
                <w:lang w:eastAsia="en-CA"/>
              </w:rPr>
              <w:t>royalty payable</w:t>
            </w:r>
          </w:p>
        </w:tc>
        <w:tc>
          <w:tcPr>
            <w:tcW w:w="1720" w:type="dxa"/>
            <w:tcBorders>
              <w:top w:val="single" w:sz="4" w:space="0" w:color="auto"/>
              <w:left w:val="nil"/>
              <w:bottom w:val="single" w:sz="4" w:space="0" w:color="auto"/>
              <w:right w:val="single" w:sz="4" w:space="0" w:color="auto"/>
            </w:tcBorders>
            <w:vAlign w:val="center"/>
            <w:hideMark/>
          </w:tcPr>
          <w:p w14:paraId="602FCFA5" w14:textId="15A08C2F" w:rsidR="002F2129" w:rsidRPr="009B4AE2" w:rsidRDefault="002F2129" w:rsidP="002F2129">
            <w:pPr>
              <w:spacing w:after="0" w:line="240" w:lineRule="auto"/>
              <w:jc w:val="center"/>
              <w:rPr>
                <w:rFonts w:eastAsia="Times New Roman" w:cstheme="minorHAnsi"/>
                <w:b/>
                <w:bCs/>
                <w:sz w:val="20"/>
                <w:szCs w:val="20"/>
                <w:lang w:eastAsia="en-CA"/>
              </w:rPr>
            </w:pPr>
            <w:r w:rsidRPr="009B4AE2">
              <w:rPr>
                <w:rFonts w:eastAsia="Times New Roman" w:cstheme="minorHAnsi"/>
                <w:b/>
                <w:bCs/>
                <w:sz w:val="20"/>
                <w:szCs w:val="20"/>
                <w:lang w:eastAsia="en-CA"/>
              </w:rPr>
              <w:t xml:space="preserve">Alberta royalty received </w:t>
            </w:r>
          </w:p>
        </w:tc>
      </w:tr>
      <w:tr w:rsidR="002F2129" w:rsidRPr="009B4AE2" w14:paraId="26FC1BC1" w14:textId="77777777" w:rsidTr="002F2129">
        <w:trPr>
          <w:trHeight w:val="255"/>
        </w:trPr>
        <w:tc>
          <w:tcPr>
            <w:tcW w:w="960" w:type="dxa"/>
            <w:tcBorders>
              <w:top w:val="nil"/>
              <w:left w:val="single" w:sz="4" w:space="0" w:color="auto"/>
              <w:bottom w:val="single" w:sz="4" w:space="0" w:color="auto"/>
              <w:right w:val="single" w:sz="4" w:space="0" w:color="auto"/>
            </w:tcBorders>
            <w:noWrap/>
            <w:vAlign w:val="bottom"/>
            <w:hideMark/>
          </w:tcPr>
          <w:p w14:paraId="4FBA6469" w14:textId="65C3F1B0" w:rsidR="002F2129" w:rsidRPr="009B4AE2" w:rsidRDefault="002F2129" w:rsidP="002F2129">
            <w:pPr>
              <w:spacing w:after="0" w:line="240" w:lineRule="auto"/>
              <w:rPr>
                <w:rFonts w:eastAsia="Times New Roman" w:cstheme="minorHAnsi"/>
                <w:b/>
                <w:bCs/>
                <w:sz w:val="20"/>
                <w:szCs w:val="20"/>
                <w:lang w:eastAsia="en-CA"/>
              </w:rPr>
            </w:pPr>
            <w:r w:rsidRPr="009B4AE2">
              <w:rPr>
                <w:rFonts w:eastAsia="Times New Roman" w:cstheme="minorHAnsi"/>
                <w:b/>
                <w:bCs/>
                <w:sz w:val="20"/>
                <w:szCs w:val="20"/>
                <w:lang w:eastAsia="en-CA"/>
              </w:rPr>
              <w:t> </w:t>
            </w:r>
            <w:r w:rsidR="009B4AE2" w:rsidRPr="009B4AE2">
              <w:rPr>
                <w:rFonts w:eastAsia="Times New Roman" w:cstheme="minorHAnsi"/>
                <w:b/>
                <w:bCs/>
                <w:sz w:val="20"/>
                <w:szCs w:val="20"/>
                <w:lang w:eastAsia="en-CA"/>
              </w:rPr>
              <w:t>Year</w:t>
            </w:r>
          </w:p>
        </w:tc>
        <w:tc>
          <w:tcPr>
            <w:tcW w:w="1700" w:type="dxa"/>
            <w:tcBorders>
              <w:top w:val="nil"/>
              <w:left w:val="nil"/>
              <w:bottom w:val="single" w:sz="4" w:space="0" w:color="auto"/>
              <w:right w:val="single" w:sz="4" w:space="0" w:color="auto"/>
            </w:tcBorders>
            <w:noWrap/>
            <w:vAlign w:val="bottom"/>
            <w:hideMark/>
          </w:tcPr>
          <w:p w14:paraId="3CAAFB11" w14:textId="57ACF223" w:rsidR="002F2129" w:rsidRPr="009B4AE2" w:rsidRDefault="002F2129" w:rsidP="002F2129">
            <w:pPr>
              <w:spacing w:after="0" w:line="240" w:lineRule="auto"/>
              <w:jc w:val="center"/>
              <w:rPr>
                <w:rFonts w:eastAsia="Times New Roman" w:cstheme="minorHAnsi"/>
                <w:i/>
                <w:iCs/>
                <w:sz w:val="20"/>
                <w:szCs w:val="20"/>
                <w:lang w:eastAsia="en-CA"/>
              </w:rPr>
            </w:pPr>
          </w:p>
        </w:tc>
        <w:tc>
          <w:tcPr>
            <w:tcW w:w="1700" w:type="dxa"/>
            <w:tcBorders>
              <w:top w:val="nil"/>
              <w:left w:val="nil"/>
              <w:bottom w:val="single" w:sz="4" w:space="0" w:color="auto"/>
              <w:right w:val="single" w:sz="4" w:space="0" w:color="auto"/>
            </w:tcBorders>
            <w:noWrap/>
            <w:vAlign w:val="bottom"/>
            <w:hideMark/>
          </w:tcPr>
          <w:p w14:paraId="066E9CBC" w14:textId="54B32E32" w:rsidR="002F2129" w:rsidRPr="009B4AE2" w:rsidRDefault="002F2129" w:rsidP="002F2129">
            <w:pPr>
              <w:spacing w:after="0" w:line="240" w:lineRule="auto"/>
              <w:jc w:val="center"/>
              <w:rPr>
                <w:rFonts w:eastAsia="Times New Roman" w:cstheme="minorHAnsi"/>
                <w:i/>
                <w:iCs/>
                <w:sz w:val="20"/>
                <w:szCs w:val="20"/>
                <w:lang w:eastAsia="en-CA"/>
              </w:rPr>
            </w:pPr>
          </w:p>
        </w:tc>
        <w:tc>
          <w:tcPr>
            <w:tcW w:w="1720" w:type="dxa"/>
            <w:tcBorders>
              <w:top w:val="nil"/>
              <w:left w:val="nil"/>
              <w:bottom w:val="single" w:sz="4" w:space="0" w:color="auto"/>
              <w:right w:val="single" w:sz="4" w:space="0" w:color="auto"/>
            </w:tcBorders>
            <w:noWrap/>
            <w:vAlign w:val="bottom"/>
            <w:hideMark/>
          </w:tcPr>
          <w:p w14:paraId="5C7F9ECE" w14:textId="0858037C" w:rsidR="002F2129" w:rsidRPr="009B4AE2" w:rsidRDefault="002F2129" w:rsidP="002F2129">
            <w:pPr>
              <w:spacing w:after="0" w:line="240" w:lineRule="auto"/>
              <w:jc w:val="center"/>
              <w:rPr>
                <w:rFonts w:eastAsia="Times New Roman" w:cstheme="minorHAnsi"/>
                <w:i/>
                <w:iCs/>
                <w:sz w:val="20"/>
                <w:szCs w:val="20"/>
                <w:lang w:eastAsia="en-CA"/>
              </w:rPr>
            </w:pPr>
          </w:p>
        </w:tc>
      </w:tr>
      <w:tr w:rsidR="009B4AE2" w:rsidRPr="009B4AE2" w14:paraId="522C9EEC" w14:textId="77777777" w:rsidTr="007F0D6C">
        <w:trPr>
          <w:trHeight w:val="255"/>
        </w:trPr>
        <w:tc>
          <w:tcPr>
            <w:tcW w:w="960" w:type="dxa"/>
            <w:tcBorders>
              <w:top w:val="nil"/>
              <w:left w:val="single" w:sz="4" w:space="0" w:color="auto"/>
              <w:bottom w:val="single" w:sz="4" w:space="0" w:color="auto"/>
              <w:right w:val="single" w:sz="4" w:space="0" w:color="auto"/>
            </w:tcBorders>
            <w:noWrap/>
            <w:vAlign w:val="bottom"/>
          </w:tcPr>
          <w:p w14:paraId="10A526C2" w14:textId="77777777" w:rsidR="009B4AE2" w:rsidRPr="009B4AE2" w:rsidRDefault="009B4AE2" w:rsidP="002F2129">
            <w:pPr>
              <w:spacing w:after="0" w:line="240" w:lineRule="auto"/>
              <w:rPr>
                <w:rFonts w:eastAsia="Times New Roman" w:cstheme="minorHAnsi"/>
                <w:b/>
                <w:bCs/>
                <w:sz w:val="20"/>
                <w:szCs w:val="20"/>
                <w:lang w:eastAsia="en-CA"/>
              </w:rPr>
            </w:pPr>
          </w:p>
        </w:tc>
        <w:tc>
          <w:tcPr>
            <w:tcW w:w="5120" w:type="dxa"/>
            <w:gridSpan w:val="3"/>
            <w:tcBorders>
              <w:top w:val="nil"/>
              <w:left w:val="nil"/>
              <w:bottom w:val="single" w:sz="4" w:space="0" w:color="auto"/>
              <w:right w:val="single" w:sz="4" w:space="0" w:color="auto"/>
            </w:tcBorders>
            <w:noWrap/>
            <w:vAlign w:val="bottom"/>
          </w:tcPr>
          <w:p w14:paraId="34B9ACF2" w14:textId="4F8B7659" w:rsidR="009B4AE2" w:rsidRPr="009B4AE2" w:rsidRDefault="009B4AE2" w:rsidP="00C32D45">
            <w:pPr>
              <w:spacing w:after="0" w:line="240" w:lineRule="auto"/>
              <w:jc w:val="center"/>
              <w:rPr>
                <w:rFonts w:eastAsia="Times New Roman" w:cstheme="minorHAnsi"/>
                <w:sz w:val="20"/>
                <w:szCs w:val="20"/>
                <w:lang w:eastAsia="en-CA"/>
              </w:rPr>
            </w:pPr>
            <w:r w:rsidRPr="009B4AE2">
              <w:rPr>
                <w:rFonts w:eastAsia="Times New Roman" w:cstheme="minorHAnsi"/>
                <w:sz w:val="20"/>
                <w:szCs w:val="20"/>
                <w:lang w:eastAsia="en-CA"/>
              </w:rPr>
              <w:t>millions of Canadian dollars</w:t>
            </w:r>
          </w:p>
        </w:tc>
      </w:tr>
      <w:tr w:rsidR="002F2129" w:rsidRPr="009B4AE2" w14:paraId="5A4D35D0" w14:textId="77777777" w:rsidTr="002F2129">
        <w:trPr>
          <w:trHeight w:val="255"/>
        </w:trPr>
        <w:tc>
          <w:tcPr>
            <w:tcW w:w="960" w:type="dxa"/>
            <w:tcBorders>
              <w:top w:val="nil"/>
              <w:left w:val="single" w:sz="4" w:space="0" w:color="auto"/>
              <w:bottom w:val="single" w:sz="4" w:space="0" w:color="auto"/>
              <w:right w:val="single" w:sz="4" w:space="0" w:color="auto"/>
            </w:tcBorders>
            <w:noWrap/>
            <w:vAlign w:val="bottom"/>
            <w:hideMark/>
          </w:tcPr>
          <w:p w14:paraId="30C18991" w14:textId="77777777" w:rsidR="002F2129" w:rsidRPr="009B4AE2" w:rsidRDefault="002F2129" w:rsidP="009B4AE2">
            <w:pPr>
              <w:spacing w:after="0" w:line="240" w:lineRule="auto"/>
              <w:rPr>
                <w:rFonts w:eastAsia="Times New Roman" w:cstheme="minorHAnsi"/>
                <w:sz w:val="20"/>
                <w:szCs w:val="20"/>
                <w:lang w:eastAsia="en-CA"/>
              </w:rPr>
            </w:pPr>
            <w:r w:rsidRPr="009B4AE2">
              <w:rPr>
                <w:rFonts w:eastAsia="Times New Roman" w:cstheme="minorHAnsi"/>
                <w:sz w:val="20"/>
                <w:szCs w:val="20"/>
                <w:lang w:eastAsia="en-CA"/>
              </w:rPr>
              <w:t>2016</w:t>
            </w:r>
          </w:p>
        </w:tc>
        <w:tc>
          <w:tcPr>
            <w:tcW w:w="1700" w:type="dxa"/>
            <w:tcBorders>
              <w:top w:val="nil"/>
              <w:left w:val="nil"/>
              <w:bottom w:val="single" w:sz="4" w:space="0" w:color="auto"/>
              <w:right w:val="single" w:sz="4" w:space="0" w:color="auto"/>
            </w:tcBorders>
            <w:noWrap/>
            <w:vAlign w:val="bottom"/>
            <w:hideMark/>
          </w:tcPr>
          <w:p w14:paraId="0BC739F9"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909    </w:t>
            </w:r>
          </w:p>
        </w:tc>
        <w:tc>
          <w:tcPr>
            <w:tcW w:w="1700" w:type="dxa"/>
            <w:tcBorders>
              <w:top w:val="nil"/>
              <w:left w:val="nil"/>
              <w:bottom w:val="single" w:sz="4" w:space="0" w:color="auto"/>
              <w:right w:val="single" w:sz="4" w:space="0" w:color="auto"/>
            </w:tcBorders>
            <w:noWrap/>
            <w:vAlign w:val="bottom"/>
            <w:hideMark/>
          </w:tcPr>
          <w:p w14:paraId="7507C511"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843    </w:t>
            </w:r>
          </w:p>
        </w:tc>
        <w:tc>
          <w:tcPr>
            <w:tcW w:w="1720" w:type="dxa"/>
            <w:tcBorders>
              <w:top w:val="nil"/>
              <w:left w:val="nil"/>
              <w:bottom w:val="single" w:sz="4" w:space="0" w:color="auto"/>
              <w:right w:val="single" w:sz="4" w:space="0" w:color="auto"/>
            </w:tcBorders>
            <w:noWrap/>
            <w:vAlign w:val="bottom"/>
            <w:hideMark/>
          </w:tcPr>
          <w:p w14:paraId="4620258C"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1,483    </w:t>
            </w:r>
          </w:p>
        </w:tc>
      </w:tr>
      <w:tr w:rsidR="002F2129" w:rsidRPr="009B4AE2" w14:paraId="140F878F" w14:textId="77777777" w:rsidTr="002F2129">
        <w:trPr>
          <w:trHeight w:val="255"/>
        </w:trPr>
        <w:tc>
          <w:tcPr>
            <w:tcW w:w="960" w:type="dxa"/>
            <w:tcBorders>
              <w:top w:val="nil"/>
              <w:left w:val="single" w:sz="4" w:space="0" w:color="auto"/>
              <w:bottom w:val="single" w:sz="4" w:space="0" w:color="auto"/>
              <w:right w:val="single" w:sz="4" w:space="0" w:color="auto"/>
            </w:tcBorders>
            <w:noWrap/>
            <w:vAlign w:val="bottom"/>
            <w:hideMark/>
          </w:tcPr>
          <w:p w14:paraId="5F16511D" w14:textId="77777777" w:rsidR="002F2129" w:rsidRPr="009B4AE2" w:rsidRDefault="002F2129" w:rsidP="009B4AE2">
            <w:pPr>
              <w:spacing w:after="0" w:line="240" w:lineRule="auto"/>
              <w:rPr>
                <w:rFonts w:eastAsia="Times New Roman" w:cstheme="minorHAnsi"/>
                <w:sz w:val="20"/>
                <w:szCs w:val="20"/>
                <w:lang w:eastAsia="en-CA"/>
              </w:rPr>
            </w:pPr>
            <w:r w:rsidRPr="009B4AE2">
              <w:rPr>
                <w:rFonts w:eastAsia="Times New Roman" w:cstheme="minorHAnsi"/>
                <w:sz w:val="20"/>
                <w:szCs w:val="20"/>
                <w:lang w:eastAsia="en-CA"/>
              </w:rPr>
              <w:t>2017</w:t>
            </w:r>
          </w:p>
        </w:tc>
        <w:tc>
          <w:tcPr>
            <w:tcW w:w="1700" w:type="dxa"/>
            <w:tcBorders>
              <w:top w:val="nil"/>
              <w:left w:val="nil"/>
              <w:bottom w:val="single" w:sz="4" w:space="0" w:color="auto"/>
              <w:right w:val="single" w:sz="4" w:space="0" w:color="auto"/>
            </w:tcBorders>
            <w:noWrap/>
            <w:vAlign w:val="bottom"/>
            <w:hideMark/>
          </w:tcPr>
          <w:p w14:paraId="7632BC98"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2,447    </w:t>
            </w:r>
          </w:p>
        </w:tc>
        <w:tc>
          <w:tcPr>
            <w:tcW w:w="1700" w:type="dxa"/>
            <w:tcBorders>
              <w:top w:val="nil"/>
              <w:left w:val="nil"/>
              <w:bottom w:val="single" w:sz="4" w:space="0" w:color="auto"/>
              <w:right w:val="single" w:sz="4" w:space="0" w:color="auto"/>
            </w:tcBorders>
            <w:noWrap/>
            <w:vAlign w:val="bottom"/>
            <w:hideMark/>
          </w:tcPr>
          <w:p w14:paraId="137A051D"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2,480    </w:t>
            </w:r>
          </w:p>
        </w:tc>
        <w:tc>
          <w:tcPr>
            <w:tcW w:w="1720" w:type="dxa"/>
            <w:tcBorders>
              <w:top w:val="nil"/>
              <w:left w:val="nil"/>
              <w:bottom w:val="single" w:sz="4" w:space="0" w:color="auto"/>
              <w:right w:val="single" w:sz="4" w:space="0" w:color="auto"/>
            </w:tcBorders>
            <w:noWrap/>
            <w:vAlign w:val="bottom"/>
            <w:hideMark/>
          </w:tcPr>
          <w:p w14:paraId="4B22E09B"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2,643    </w:t>
            </w:r>
          </w:p>
        </w:tc>
      </w:tr>
      <w:tr w:rsidR="002F2129" w:rsidRPr="009B4AE2" w14:paraId="2042F4D3" w14:textId="77777777" w:rsidTr="002F2129">
        <w:trPr>
          <w:trHeight w:val="255"/>
        </w:trPr>
        <w:tc>
          <w:tcPr>
            <w:tcW w:w="960" w:type="dxa"/>
            <w:tcBorders>
              <w:top w:val="nil"/>
              <w:left w:val="single" w:sz="4" w:space="0" w:color="auto"/>
              <w:bottom w:val="single" w:sz="4" w:space="0" w:color="auto"/>
              <w:right w:val="single" w:sz="4" w:space="0" w:color="auto"/>
            </w:tcBorders>
            <w:noWrap/>
            <w:vAlign w:val="bottom"/>
            <w:hideMark/>
          </w:tcPr>
          <w:p w14:paraId="32D025FB" w14:textId="77777777" w:rsidR="002F2129" w:rsidRPr="009B4AE2" w:rsidRDefault="002F2129" w:rsidP="009B4AE2">
            <w:pPr>
              <w:spacing w:after="0" w:line="240" w:lineRule="auto"/>
              <w:rPr>
                <w:rFonts w:eastAsia="Times New Roman" w:cstheme="minorHAnsi"/>
                <w:sz w:val="20"/>
                <w:szCs w:val="20"/>
                <w:lang w:eastAsia="en-CA"/>
              </w:rPr>
            </w:pPr>
            <w:r w:rsidRPr="009B4AE2">
              <w:rPr>
                <w:rFonts w:eastAsia="Times New Roman" w:cstheme="minorHAnsi"/>
                <w:sz w:val="20"/>
                <w:szCs w:val="20"/>
                <w:lang w:eastAsia="en-CA"/>
              </w:rPr>
              <w:t>2018</w:t>
            </w:r>
          </w:p>
        </w:tc>
        <w:tc>
          <w:tcPr>
            <w:tcW w:w="1700" w:type="dxa"/>
            <w:tcBorders>
              <w:top w:val="nil"/>
              <w:left w:val="nil"/>
              <w:bottom w:val="single" w:sz="4" w:space="0" w:color="auto"/>
              <w:right w:val="single" w:sz="4" w:space="0" w:color="auto"/>
            </w:tcBorders>
            <w:noWrap/>
            <w:vAlign w:val="bottom"/>
            <w:hideMark/>
          </w:tcPr>
          <w:p w14:paraId="764DEE63"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2,714    </w:t>
            </w:r>
          </w:p>
        </w:tc>
        <w:tc>
          <w:tcPr>
            <w:tcW w:w="1700" w:type="dxa"/>
            <w:tcBorders>
              <w:top w:val="nil"/>
              <w:left w:val="nil"/>
              <w:bottom w:val="single" w:sz="4" w:space="0" w:color="auto"/>
              <w:right w:val="single" w:sz="4" w:space="0" w:color="auto"/>
            </w:tcBorders>
            <w:noWrap/>
            <w:vAlign w:val="bottom"/>
            <w:hideMark/>
          </w:tcPr>
          <w:p w14:paraId="26BF54DC"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2,716    </w:t>
            </w:r>
          </w:p>
        </w:tc>
        <w:tc>
          <w:tcPr>
            <w:tcW w:w="1720" w:type="dxa"/>
            <w:tcBorders>
              <w:top w:val="nil"/>
              <w:left w:val="nil"/>
              <w:bottom w:val="single" w:sz="4" w:space="0" w:color="auto"/>
              <w:right w:val="single" w:sz="4" w:space="0" w:color="auto"/>
            </w:tcBorders>
            <w:noWrap/>
            <w:vAlign w:val="bottom"/>
            <w:hideMark/>
          </w:tcPr>
          <w:p w14:paraId="1527505E"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3,214    </w:t>
            </w:r>
          </w:p>
        </w:tc>
      </w:tr>
      <w:tr w:rsidR="002F2129" w:rsidRPr="009B4AE2" w14:paraId="06D1CD2C" w14:textId="77777777" w:rsidTr="002F2129">
        <w:trPr>
          <w:trHeight w:val="255"/>
        </w:trPr>
        <w:tc>
          <w:tcPr>
            <w:tcW w:w="960" w:type="dxa"/>
            <w:tcBorders>
              <w:top w:val="nil"/>
              <w:left w:val="single" w:sz="4" w:space="0" w:color="auto"/>
              <w:bottom w:val="single" w:sz="4" w:space="0" w:color="auto"/>
              <w:right w:val="single" w:sz="4" w:space="0" w:color="auto"/>
            </w:tcBorders>
            <w:noWrap/>
            <w:vAlign w:val="bottom"/>
            <w:hideMark/>
          </w:tcPr>
          <w:p w14:paraId="43B711DA" w14:textId="77777777" w:rsidR="002F2129" w:rsidRPr="009B4AE2" w:rsidRDefault="002F2129" w:rsidP="009B4AE2">
            <w:pPr>
              <w:spacing w:after="0" w:line="240" w:lineRule="auto"/>
              <w:rPr>
                <w:rFonts w:eastAsia="Times New Roman" w:cstheme="minorHAnsi"/>
                <w:sz w:val="20"/>
                <w:szCs w:val="20"/>
                <w:lang w:eastAsia="en-CA"/>
              </w:rPr>
            </w:pPr>
            <w:r w:rsidRPr="009B4AE2">
              <w:rPr>
                <w:rFonts w:eastAsia="Times New Roman" w:cstheme="minorHAnsi"/>
                <w:sz w:val="20"/>
                <w:szCs w:val="20"/>
                <w:lang w:eastAsia="en-CA"/>
              </w:rPr>
              <w:t>2019</w:t>
            </w:r>
          </w:p>
        </w:tc>
        <w:tc>
          <w:tcPr>
            <w:tcW w:w="1700" w:type="dxa"/>
            <w:tcBorders>
              <w:top w:val="nil"/>
              <w:left w:val="nil"/>
              <w:bottom w:val="single" w:sz="4" w:space="0" w:color="auto"/>
              <w:right w:val="single" w:sz="4" w:space="0" w:color="auto"/>
            </w:tcBorders>
            <w:noWrap/>
            <w:vAlign w:val="bottom"/>
            <w:hideMark/>
          </w:tcPr>
          <w:p w14:paraId="6134B1CF"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4,821    </w:t>
            </w:r>
          </w:p>
        </w:tc>
        <w:tc>
          <w:tcPr>
            <w:tcW w:w="1700" w:type="dxa"/>
            <w:tcBorders>
              <w:top w:val="nil"/>
              <w:left w:val="nil"/>
              <w:bottom w:val="single" w:sz="4" w:space="0" w:color="auto"/>
              <w:right w:val="single" w:sz="4" w:space="0" w:color="auto"/>
            </w:tcBorders>
            <w:noWrap/>
            <w:vAlign w:val="bottom"/>
            <w:hideMark/>
          </w:tcPr>
          <w:p w14:paraId="3D963554"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4,821    </w:t>
            </w:r>
          </w:p>
        </w:tc>
        <w:tc>
          <w:tcPr>
            <w:tcW w:w="1720" w:type="dxa"/>
            <w:tcBorders>
              <w:top w:val="nil"/>
              <w:left w:val="nil"/>
              <w:bottom w:val="single" w:sz="4" w:space="0" w:color="auto"/>
              <w:right w:val="single" w:sz="4" w:space="0" w:color="auto"/>
            </w:tcBorders>
            <w:noWrap/>
            <w:vAlign w:val="bottom"/>
            <w:hideMark/>
          </w:tcPr>
          <w:p w14:paraId="4688BD45"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4,089    </w:t>
            </w:r>
          </w:p>
        </w:tc>
      </w:tr>
      <w:tr w:rsidR="002F2129" w:rsidRPr="009B4AE2" w14:paraId="3976626F" w14:textId="77777777" w:rsidTr="002F2129">
        <w:trPr>
          <w:trHeight w:val="255"/>
        </w:trPr>
        <w:tc>
          <w:tcPr>
            <w:tcW w:w="960" w:type="dxa"/>
            <w:tcBorders>
              <w:top w:val="nil"/>
              <w:left w:val="single" w:sz="4" w:space="0" w:color="auto"/>
              <w:bottom w:val="single" w:sz="4" w:space="0" w:color="auto"/>
              <w:right w:val="single" w:sz="4" w:space="0" w:color="auto"/>
            </w:tcBorders>
            <w:noWrap/>
            <w:vAlign w:val="bottom"/>
            <w:hideMark/>
          </w:tcPr>
          <w:p w14:paraId="39B8C0F0" w14:textId="77777777" w:rsidR="002F2129" w:rsidRPr="009B4AE2" w:rsidRDefault="002F2129" w:rsidP="009B4AE2">
            <w:pPr>
              <w:spacing w:after="0" w:line="240" w:lineRule="auto"/>
              <w:rPr>
                <w:rFonts w:eastAsia="Times New Roman" w:cstheme="minorHAnsi"/>
                <w:sz w:val="20"/>
                <w:szCs w:val="20"/>
                <w:lang w:eastAsia="en-CA"/>
              </w:rPr>
            </w:pPr>
            <w:r w:rsidRPr="009B4AE2">
              <w:rPr>
                <w:rFonts w:eastAsia="Times New Roman" w:cstheme="minorHAnsi"/>
                <w:sz w:val="20"/>
                <w:szCs w:val="20"/>
                <w:lang w:eastAsia="en-CA"/>
              </w:rPr>
              <w:t>2020</w:t>
            </w:r>
          </w:p>
        </w:tc>
        <w:tc>
          <w:tcPr>
            <w:tcW w:w="1700" w:type="dxa"/>
            <w:tcBorders>
              <w:top w:val="nil"/>
              <w:left w:val="nil"/>
              <w:bottom w:val="single" w:sz="4" w:space="0" w:color="auto"/>
              <w:right w:val="single" w:sz="4" w:space="0" w:color="auto"/>
            </w:tcBorders>
            <w:noWrap/>
            <w:vAlign w:val="bottom"/>
            <w:hideMark/>
          </w:tcPr>
          <w:p w14:paraId="7FCE9A9D"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1,064    </w:t>
            </w:r>
          </w:p>
        </w:tc>
        <w:tc>
          <w:tcPr>
            <w:tcW w:w="1700" w:type="dxa"/>
            <w:tcBorders>
              <w:top w:val="nil"/>
              <w:left w:val="nil"/>
              <w:bottom w:val="single" w:sz="4" w:space="0" w:color="auto"/>
              <w:right w:val="single" w:sz="4" w:space="0" w:color="auto"/>
            </w:tcBorders>
            <w:noWrap/>
            <w:vAlign w:val="bottom"/>
            <w:hideMark/>
          </w:tcPr>
          <w:p w14:paraId="340E7AAA"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1,064    </w:t>
            </w:r>
          </w:p>
        </w:tc>
        <w:tc>
          <w:tcPr>
            <w:tcW w:w="1720" w:type="dxa"/>
            <w:tcBorders>
              <w:top w:val="nil"/>
              <w:left w:val="nil"/>
              <w:bottom w:val="single" w:sz="4" w:space="0" w:color="auto"/>
              <w:right w:val="single" w:sz="4" w:space="0" w:color="auto"/>
            </w:tcBorders>
            <w:noWrap/>
            <w:vAlign w:val="bottom"/>
            <w:hideMark/>
          </w:tcPr>
          <w:p w14:paraId="2A848887"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2,006    </w:t>
            </w:r>
          </w:p>
        </w:tc>
      </w:tr>
      <w:tr w:rsidR="002F2129" w:rsidRPr="009B4AE2" w14:paraId="02602822" w14:textId="77777777" w:rsidTr="002F2129">
        <w:trPr>
          <w:trHeight w:val="255"/>
        </w:trPr>
        <w:tc>
          <w:tcPr>
            <w:tcW w:w="960" w:type="dxa"/>
            <w:tcBorders>
              <w:top w:val="nil"/>
              <w:left w:val="single" w:sz="4" w:space="0" w:color="auto"/>
              <w:bottom w:val="single" w:sz="4" w:space="0" w:color="auto"/>
              <w:right w:val="single" w:sz="4" w:space="0" w:color="auto"/>
            </w:tcBorders>
            <w:noWrap/>
            <w:vAlign w:val="bottom"/>
            <w:hideMark/>
          </w:tcPr>
          <w:p w14:paraId="0DAB096E" w14:textId="77777777" w:rsidR="002F2129" w:rsidRPr="009B4AE2" w:rsidRDefault="002F2129" w:rsidP="009B4AE2">
            <w:pPr>
              <w:spacing w:after="0" w:line="240" w:lineRule="auto"/>
              <w:rPr>
                <w:rFonts w:eastAsia="Times New Roman" w:cstheme="minorHAnsi"/>
                <w:sz w:val="20"/>
                <w:szCs w:val="20"/>
                <w:lang w:eastAsia="en-CA"/>
              </w:rPr>
            </w:pPr>
            <w:r w:rsidRPr="009B4AE2">
              <w:rPr>
                <w:rFonts w:eastAsia="Times New Roman" w:cstheme="minorHAnsi"/>
                <w:sz w:val="20"/>
                <w:szCs w:val="20"/>
                <w:lang w:eastAsia="en-CA"/>
              </w:rPr>
              <w:t>2021</w:t>
            </w:r>
          </w:p>
        </w:tc>
        <w:tc>
          <w:tcPr>
            <w:tcW w:w="1700" w:type="dxa"/>
            <w:tcBorders>
              <w:top w:val="nil"/>
              <w:left w:val="nil"/>
              <w:bottom w:val="single" w:sz="4" w:space="0" w:color="auto"/>
              <w:right w:val="single" w:sz="4" w:space="0" w:color="auto"/>
            </w:tcBorders>
            <w:noWrap/>
            <w:vAlign w:val="bottom"/>
            <w:hideMark/>
          </w:tcPr>
          <w:p w14:paraId="759570E9"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7,704    </w:t>
            </w:r>
          </w:p>
        </w:tc>
        <w:tc>
          <w:tcPr>
            <w:tcW w:w="1700" w:type="dxa"/>
            <w:tcBorders>
              <w:top w:val="nil"/>
              <w:left w:val="nil"/>
              <w:bottom w:val="single" w:sz="4" w:space="0" w:color="auto"/>
              <w:right w:val="single" w:sz="4" w:space="0" w:color="auto"/>
            </w:tcBorders>
            <w:noWrap/>
            <w:vAlign w:val="bottom"/>
            <w:hideMark/>
          </w:tcPr>
          <w:p w14:paraId="0119A471"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7,767    </w:t>
            </w:r>
          </w:p>
        </w:tc>
        <w:tc>
          <w:tcPr>
            <w:tcW w:w="1720" w:type="dxa"/>
            <w:tcBorders>
              <w:top w:val="nil"/>
              <w:left w:val="nil"/>
              <w:bottom w:val="single" w:sz="4" w:space="0" w:color="auto"/>
              <w:right w:val="single" w:sz="4" w:space="0" w:color="auto"/>
            </w:tcBorders>
            <w:noWrap/>
            <w:vAlign w:val="bottom"/>
            <w:hideMark/>
          </w:tcPr>
          <w:p w14:paraId="4FC63806"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11,605    </w:t>
            </w:r>
          </w:p>
        </w:tc>
      </w:tr>
      <w:tr w:rsidR="002F2129" w:rsidRPr="009B4AE2" w14:paraId="3CCFC269" w14:textId="77777777" w:rsidTr="002F2129">
        <w:trPr>
          <w:trHeight w:val="255"/>
        </w:trPr>
        <w:tc>
          <w:tcPr>
            <w:tcW w:w="960" w:type="dxa"/>
            <w:tcBorders>
              <w:top w:val="nil"/>
              <w:left w:val="single" w:sz="4" w:space="0" w:color="auto"/>
              <w:bottom w:val="single" w:sz="4" w:space="0" w:color="auto"/>
              <w:right w:val="single" w:sz="4" w:space="0" w:color="auto"/>
            </w:tcBorders>
            <w:noWrap/>
            <w:vAlign w:val="bottom"/>
            <w:hideMark/>
          </w:tcPr>
          <w:p w14:paraId="3DF05926" w14:textId="77777777" w:rsidR="002F2129" w:rsidRPr="009B4AE2" w:rsidRDefault="002F2129" w:rsidP="009B4AE2">
            <w:pPr>
              <w:spacing w:after="0" w:line="240" w:lineRule="auto"/>
              <w:rPr>
                <w:rFonts w:eastAsia="Times New Roman" w:cstheme="minorHAnsi"/>
                <w:sz w:val="20"/>
                <w:szCs w:val="20"/>
                <w:lang w:eastAsia="en-CA"/>
              </w:rPr>
            </w:pPr>
            <w:r w:rsidRPr="009B4AE2">
              <w:rPr>
                <w:rFonts w:eastAsia="Times New Roman" w:cstheme="minorHAnsi"/>
                <w:sz w:val="20"/>
                <w:szCs w:val="20"/>
                <w:lang w:eastAsia="en-CA"/>
              </w:rPr>
              <w:t>2022</w:t>
            </w:r>
          </w:p>
        </w:tc>
        <w:tc>
          <w:tcPr>
            <w:tcW w:w="1700" w:type="dxa"/>
            <w:tcBorders>
              <w:top w:val="nil"/>
              <w:left w:val="nil"/>
              <w:bottom w:val="single" w:sz="4" w:space="0" w:color="auto"/>
              <w:right w:val="single" w:sz="4" w:space="0" w:color="auto"/>
            </w:tcBorders>
            <w:noWrap/>
            <w:vAlign w:val="bottom"/>
            <w:hideMark/>
          </w:tcPr>
          <w:p w14:paraId="4898D482"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19,113    </w:t>
            </w:r>
          </w:p>
        </w:tc>
        <w:tc>
          <w:tcPr>
            <w:tcW w:w="1700" w:type="dxa"/>
            <w:tcBorders>
              <w:top w:val="nil"/>
              <w:left w:val="nil"/>
              <w:bottom w:val="single" w:sz="4" w:space="0" w:color="auto"/>
              <w:right w:val="single" w:sz="4" w:space="0" w:color="auto"/>
            </w:tcBorders>
            <w:noWrap/>
            <w:vAlign w:val="bottom"/>
            <w:hideMark/>
          </w:tcPr>
          <w:p w14:paraId="2A1D5792"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19,112    </w:t>
            </w:r>
          </w:p>
        </w:tc>
        <w:tc>
          <w:tcPr>
            <w:tcW w:w="1720" w:type="dxa"/>
            <w:tcBorders>
              <w:top w:val="nil"/>
              <w:left w:val="nil"/>
              <w:bottom w:val="single" w:sz="4" w:space="0" w:color="auto"/>
              <w:right w:val="single" w:sz="4" w:space="0" w:color="auto"/>
            </w:tcBorders>
            <w:noWrap/>
            <w:vAlign w:val="bottom"/>
            <w:hideMark/>
          </w:tcPr>
          <w:p w14:paraId="42B5356F" w14:textId="77777777" w:rsidR="002F2129" w:rsidRPr="009B4AE2" w:rsidRDefault="002F2129" w:rsidP="009B4AE2">
            <w:pPr>
              <w:spacing w:after="0" w:line="240" w:lineRule="auto"/>
              <w:jc w:val="right"/>
              <w:rPr>
                <w:rFonts w:eastAsia="Times New Roman" w:cstheme="minorHAnsi"/>
                <w:sz w:val="20"/>
                <w:szCs w:val="20"/>
                <w:lang w:eastAsia="en-CA"/>
              </w:rPr>
            </w:pPr>
            <w:r w:rsidRPr="009B4AE2">
              <w:rPr>
                <w:rFonts w:eastAsia="Times New Roman" w:cstheme="minorHAnsi"/>
                <w:sz w:val="20"/>
                <w:szCs w:val="20"/>
                <w:lang w:eastAsia="en-CA"/>
              </w:rPr>
              <w:t xml:space="preserve">             16,879    </w:t>
            </w:r>
          </w:p>
        </w:tc>
      </w:tr>
    </w:tbl>
    <w:p w14:paraId="53A7ADA6" w14:textId="29245389" w:rsidR="00E740CD" w:rsidRDefault="00112CB9" w:rsidP="000A3F4F">
      <w:pPr>
        <w:spacing w:afterLines="40" w:after="96" w:line="240" w:lineRule="auto"/>
        <w:rPr>
          <w:sz w:val="20"/>
          <w:szCs w:val="20"/>
        </w:rPr>
      </w:pPr>
      <w:r w:rsidRPr="009B4AE2">
        <w:rPr>
          <w:b/>
          <w:bCs/>
          <w:sz w:val="20"/>
          <w:szCs w:val="20"/>
        </w:rPr>
        <w:t>Note:</w:t>
      </w:r>
      <w:r w:rsidRPr="00112CB9">
        <w:rPr>
          <w:b/>
          <w:bCs/>
          <w:sz w:val="20"/>
          <w:szCs w:val="20"/>
        </w:rPr>
        <w:t xml:space="preserve"> </w:t>
      </w:r>
      <w:r w:rsidRPr="009B4AE2">
        <w:rPr>
          <w:sz w:val="20"/>
          <w:szCs w:val="20"/>
        </w:rPr>
        <w:t>Total royalties that should be paid versus the royalties that Alberta received for that reporting year.</w:t>
      </w:r>
    </w:p>
    <w:p w14:paraId="409B14C9" w14:textId="6F08E612" w:rsidR="001E58AD" w:rsidRPr="001E58AD" w:rsidRDefault="009B4AE2" w:rsidP="001E58AD">
      <w:pPr>
        <w:spacing w:afterLines="40" w:after="96" w:line="240" w:lineRule="auto"/>
        <w:rPr>
          <w:sz w:val="20"/>
          <w:szCs w:val="20"/>
          <w:lang w:val="en-US"/>
        </w:rPr>
      </w:pPr>
      <w:r w:rsidRPr="009B4AE2">
        <w:rPr>
          <w:b/>
          <w:bCs/>
          <w:sz w:val="20"/>
          <w:szCs w:val="20"/>
        </w:rPr>
        <w:t xml:space="preserve">Source: </w:t>
      </w:r>
      <w:r w:rsidR="00182DB5">
        <w:rPr>
          <w:b/>
          <w:bCs/>
          <w:sz w:val="20"/>
          <w:szCs w:val="20"/>
        </w:rPr>
        <w:t xml:space="preserve"> </w:t>
      </w:r>
      <w:r w:rsidR="00182DB5" w:rsidRPr="008A4EFE">
        <w:rPr>
          <w:sz w:val="20"/>
          <w:szCs w:val="20"/>
        </w:rPr>
        <w:t>CAPP 04-14 Oil Sands Expenditures</w:t>
      </w:r>
      <w:r w:rsidR="00182DB5">
        <w:rPr>
          <w:sz w:val="20"/>
          <w:szCs w:val="20"/>
        </w:rPr>
        <w:t>.</w:t>
      </w:r>
      <w:r w:rsidR="001E58AD" w:rsidRPr="001E58AD">
        <w:rPr>
          <w:rFonts w:ascii="Segoe UI" w:eastAsia="Times New Roman" w:hAnsi="Segoe UI" w:cs="Segoe UI"/>
          <w:sz w:val="21"/>
          <w:szCs w:val="21"/>
          <w:lang w:val="en-US"/>
        </w:rPr>
        <w:t xml:space="preserve"> </w:t>
      </w:r>
      <w:r w:rsidR="001E58AD" w:rsidRPr="001E58AD">
        <w:rPr>
          <w:sz w:val="20"/>
          <w:szCs w:val="20"/>
          <w:lang w:val="en-US"/>
        </w:rPr>
        <w:t xml:space="preserve">Government of Alberta, </w:t>
      </w:r>
      <w:r w:rsidR="001E58AD" w:rsidRPr="001E58AD">
        <w:rPr>
          <w:i/>
          <w:iCs/>
          <w:sz w:val="20"/>
          <w:szCs w:val="20"/>
          <w:lang w:val="en-US"/>
        </w:rPr>
        <w:t>Alberta Oil Sands Royalty Data</w:t>
      </w:r>
      <w:r w:rsidR="00EC1A56">
        <w:rPr>
          <w:i/>
          <w:iCs/>
          <w:sz w:val="20"/>
          <w:szCs w:val="20"/>
          <w:lang w:val="en-US"/>
        </w:rPr>
        <w:t xml:space="preserve"> </w:t>
      </w:r>
      <w:hyperlink r:id="rId26" w:history="1">
        <w:r w:rsidR="00EC1A56" w:rsidRPr="00CD2E6A">
          <w:rPr>
            <w:rStyle w:val="Hyperlink"/>
            <w:sz w:val="20"/>
            <w:szCs w:val="20"/>
          </w:rPr>
          <w:t>Alberta Oil sands project database</w:t>
        </w:r>
      </w:hyperlink>
      <w:r w:rsidR="001E58AD" w:rsidRPr="001E58AD">
        <w:rPr>
          <w:sz w:val="20"/>
          <w:szCs w:val="20"/>
          <w:lang w:val="en-US"/>
        </w:rPr>
        <w:t xml:space="preserve">; Government of Alberta, </w:t>
      </w:r>
      <w:r w:rsidR="001E58AD" w:rsidRPr="001E58AD">
        <w:rPr>
          <w:i/>
          <w:iCs/>
          <w:sz w:val="20"/>
          <w:szCs w:val="20"/>
          <w:lang w:val="en-US"/>
        </w:rPr>
        <w:t>Historical Royalty Revenue</w:t>
      </w:r>
      <w:r w:rsidR="00EC1A56">
        <w:rPr>
          <w:i/>
          <w:iCs/>
          <w:sz w:val="20"/>
          <w:szCs w:val="20"/>
          <w:lang w:val="en-US"/>
        </w:rPr>
        <w:t xml:space="preserve"> </w:t>
      </w:r>
      <w:hyperlink r:id="rId27" w:history="1">
        <w:r w:rsidR="00EC1A56" w:rsidRPr="00891CBB">
          <w:rPr>
            <w:rStyle w:val="Hyperlink"/>
            <w:sz w:val="20"/>
            <w:szCs w:val="20"/>
          </w:rPr>
          <w:t>Alberta Historical Resource revenue workbook 1970-2022</w:t>
        </w:r>
      </w:hyperlink>
      <w:r w:rsidR="001E58AD" w:rsidRPr="001E58AD">
        <w:rPr>
          <w:sz w:val="20"/>
          <w:szCs w:val="20"/>
          <w:lang w:val="en-US"/>
        </w:rPr>
        <w:t xml:space="preserve">. </w:t>
      </w:r>
    </w:p>
    <w:p w14:paraId="52CFD596" w14:textId="77777777" w:rsidR="00DF1B39" w:rsidRDefault="00DF1B39" w:rsidP="000A3F4F">
      <w:pPr>
        <w:spacing w:afterLines="40" w:after="96" w:line="240" w:lineRule="auto"/>
      </w:pPr>
    </w:p>
    <w:p w14:paraId="30A9F4FA" w14:textId="4CAE49F4" w:rsidR="00A262CE" w:rsidRPr="00B70566" w:rsidRDefault="00E026F0" w:rsidP="00E026F0">
      <w:pPr>
        <w:pStyle w:val="Heading2"/>
      </w:pPr>
      <w:r>
        <w:t xml:space="preserve">4.0 </w:t>
      </w:r>
      <w:r w:rsidR="00A262CE" w:rsidRPr="00B70566">
        <w:t>Conclusion</w:t>
      </w:r>
    </w:p>
    <w:p w14:paraId="227AC86D" w14:textId="055B3641" w:rsidR="00640A0F" w:rsidRDefault="008B23D9" w:rsidP="00862643">
      <w:pPr>
        <w:spacing w:afterLines="40" w:after="96" w:line="240" w:lineRule="auto"/>
      </w:pPr>
      <w:r>
        <w:t xml:space="preserve">As discussed, the </w:t>
      </w:r>
      <w:r w:rsidR="00344737">
        <w:t>Canadian National Balance Sheet Accounts</w:t>
      </w:r>
      <w:r>
        <w:t xml:space="preserve"> currently </w:t>
      </w:r>
      <w:r w:rsidR="00883F12">
        <w:t>splits ownership for</w:t>
      </w:r>
      <w:r>
        <w:t xml:space="preserve"> </w:t>
      </w:r>
      <w:r w:rsidR="00EC4A74">
        <w:t xml:space="preserve">total </w:t>
      </w:r>
      <w:r>
        <w:t xml:space="preserve">subsoil and timber </w:t>
      </w:r>
      <w:r w:rsidR="00883F12">
        <w:t xml:space="preserve">asset value </w:t>
      </w:r>
      <w:r>
        <w:t xml:space="preserve">estimates </w:t>
      </w:r>
      <w:r w:rsidR="00B65464">
        <w:t>using</w:t>
      </w:r>
      <w:r>
        <w:t xml:space="preserve"> </w:t>
      </w:r>
      <w:r w:rsidR="00EC4A74">
        <w:t xml:space="preserve">aggregate </w:t>
      </w:r>
      <w:r w:rsidR="00543B48">
        <w:t xml:space="preserve">royalty data </w:t>
      </w:r>
      <w:r w:rsidR="008703C7">
        <w:t>collected as part of the Government Finance Statistics Program</w:t>
      </w:r>
      <w:r w:rsidR="00883F12">
        <w:t>,</w:t>
      </w:r>
      <w:r w:rsidR="008703C7">
        <w:t xml:space="preserve"> </w:t>
      </w:r>
      <w:r w:rsidR="00543B48">
        <w:t>for federal and provinc</w:t>
      </w:r>
      <w:r>
        <w:t>ial</w:t>
      </w:r>
      <w:r w:rsidR="00543B48">
        <w:t xml:space="preserve"> governments.</w:t>
      </w:r>
      <w:r w:rsidR="00FF6006">
        <w:t xml:space="preserve"> This approach is inherently approximate, as</w:t>
      </w:r>
      <w:r w:rsidR="002E26C3" w:rsidRPr="002E26C3">
        <w:t xml:space="preserve"> it assumes that the distribution of aggregate royalties accurately reflects the split of subsoil asset values among legal owners.</w:t>
      </w:r>
      <w:r w:rsidR="00862643" w:rsidRPr="00862643">
        <w:t xml:space="preserve"> </w:t>
      </w:r>
      <w:r w:rsidR="00640A0F">
        <w:t>R</w:t>
      </w:r>
      <w:r w:rsidR="00862643" w:rsidRPr="00862643">
        <w:t xml:space="preserve">oyalties </w:t>
      </w:r>
      <w:r w:rsidR="00CD3E93">
        <w:t>split ownership of</w:t>
      </w:r>
      <w:r w:rsidR="00862643" w:rsidRPr="00862643">
        <w:t xml:space="preserve"> a commodity’s net present value, and thereby determine the government’s share of resource</w:t>
      </w:r>
      <w:r w:rsidR="008703C7">
        <w:t xml:space="preserve"> wealth</w:t>
      </w:r>
      <w:r w:rsidR="00862643" w:rsidRPr="00862643">
        <w:t xml:space="preserve">. </w:t>
      </w:r>
    </w:p>
    <w:p w14:paraId="08113B93" w14:textId="519888F2" w:rsidR="00075ECC" w:rsidRPr="00640A0F" w:rsidRDefault="00862643" w:rsidP="00862643">
      <w:pPr>
        <w:spacing w:afterLines="40" w:after="96" w:line="240" w:lineRule="auto"/>
        <w:rPr>
          <w:rFonts w:ascii="Segoe UI" w:eastAsia="Times New Roman" w:hAnsi="Segoe UI" w:cs="Segoe UI"/>
          <w:sz w:val="21"/>
          <w:szCs w:val="21"/>
          <w:lang w:eastAsia="en-CA"/>
        </w:rPr>
      </w:pPr>
      <w:r w:rsidRPr="00862643">
        <w:lastRenderedPageBreak/>
        <w:t xml:space="preserve">This paper demonstrates that royalties can be estimated from provincial royalty regimes when </w:t>
      </w:r>
      <w:r w:rsidR="00CD3E93">
        <w:t>sufficient</w:t>
      </w:r>
      <w:r w:rsidRPr="00862643">
        <w:t xml:space="preserve"> data are available. In cases where regime-based royalties cannot be calculated, publicly reported royalty data may serve as a potential alternative</w:t>
      </w:r>
      <w:r w:rsidR="006225E6">
        <w:t>, where these data exist</w:t>
      </w:r>
      <w:r w:rsidRPr="00862643">
        <w:t>.</w:t>
      </w:r>
      <w:r>
        <w:t xml:space="preserve"> </w:t>
      </w:r>
    </w:p>
    <w:p w14:paraId="0E807855" w14:textId="293D8967" w:rsidR="00862643" w:rsidRDefault="00446702" w:rsidP="00862643">
      <w:pPr>
        <w:spacing w:afterLines="40" w:after="96" w:line="240" w:lineRule="auto"/>
      </w:pPr>
      <w:r>
        <w:t>B</w:t>
      </w:r>
      <w:r w:rsidR="00075ECC" w:rsidRPr="00075ECC">
        <w:t>oth approaches are subject to limitations.</w:t>
      </w:r>
      <w:r w:rsidR="002C2325">
        <w:t xml:space="preserve"> </w:t>
      </w:r>
      <w:r w:rsidR="00DF7315">
        <w:t>Publicly</w:t>
      </w:r>
      <w:r w:rsidR="002C2325" w:rsidRPr="002C2325">
        <w:t xml:space="preserve"> reported royalty data </w:t>
      </w:r>
      <w:r w:rsidR="00455AE5">
        <w:t>can</w:t>
      </w:r>
      <w:r w:rsidR="00455AE5" w:rsidRPr="00455AE5">
        <w:t xml:space="preserve"> differ across source</w:t>
      </w:r>
      <w:r w:rsidR="009B5226">
        <w:t xml:space="preserve">s, </w:t>
      </w:r>
      <w:r w:rsidR="009B5226" w:rsidRPr="009B5226">
        <w:t xml:space="preserve">and limited information on collection and reporting methods makes it difficult to identify the reasons for discrepancies. </w:t>
      </w:r>
      <w:r w:rsidR="00DF7315">
        <w:t>R</w:t>
      </w:r>
      <w:r w:rsidR="00B65464" w:rsidRPr="00B65464">
        <w:t xml:space="preserve">egime-based royalty estimates are more closely linked to actual extraction, </w:t>
      </w:r>
      <w:r w:rsidR="00455AE5">
        <w:t xml:space="preserve">but </w:t>
      </w:r>
      <w:r w:rsidR="00075ECC">
        <w:t xml:space="preserve">in this </w:t>
      </w:r>
      <w:r w:rsidR="001543F9">
        <w:t>analysis,</w:t>
      </w:r>
      <w:r w:rsidR="00075ECC">
        <w:t xml:space="preserve"> </w:t>
      </w:r>
      <w:r w:rsidR="00B65464" w:rsidRPr="00B65464">
        <w:t>they rely on assumptions</w:t>
      </w:r>
      <w:r w:rsidR="005C0083">
        <w:t xml:space="preserve"> and data proxies</w:t>
      </w:r>
      <w:r w:rsidR="00B65464">
        <w:t xml:space="preserve">. </w:t>
      </w:r>
      <w:r w:rsidR="00862643" w:rsidRPr="00862643">
        <w:t>In both approaches, the lack of sufficiently detailed, timely and disaggregated data</w:t>
      </w:r>
      <w:r w:rsidR="00CB395D">
        <w:t>,</w:t>
      </w:r>
      <w:r w:rsidR="00862643" w:rsidRPr="00862643">
        <w:t xml:space="preserve"> limits the accuracy of the resulting </w:t>
      </w:r>
      <w:r w:rsidR="00B65464">
        <w:t>sector splits.</w:t>
      </w:r>
    </w:p>
    <w:p w14:paraId="5B115EA3" w14:textId="77777777" w:rsidR="009D1366" w:rsidRPr="00862643" w:rsidRDefault="009D1366" w:rsidP="00862643">
      <w:pPr>
        <w:spacing w:afterLines="40" w:after="96" w:line="240" w:lineRule="auto"/>
      </w:pPr>
    </w:p>
    <w:p w14:paraId="5D29FA37" w14:textId="5512774C" w:rsidR="00862643" w:rsidRDefault="002A0795" w:rsidP="00D62A68">
      <w:pPr>
        <w:pStyle w:val="Heading3"/>
      </w:pPr>
      <w:r>
        <w:t>4.1</w:t>
      </w:r>
      <w:r w:rsidR="0011489D">
        <w:t xml:space="preserve"> </w:t>
      </w:r>
      <w:r w:rsidR="00F37614">
        <w:t xml:space="preserve">Outstanding </w:t>
      </w:r>
      <w:r w:rsidR="00667A43">
        <w:t>q</w:t>
      </w:r>
      <w:r w:rsidR="00F37614">
        <w:t>uestions</w:t>
      </w:r>
      <w:r w:rsidR="006225E6">
        <w:t xml:space="preserve"> and viewpoints</w:t>
      </w:r>
    </w:p>
    <w:p w14:paraId="582F34DF" w14:textId="6D3C0DCA" w:rsidR="0011489D" w:rsidRDefault="0011489D" w:rsidP="00093889">
      <w:pPr>
        <w:numPr>
          <w:ilvl w:val="0"/>
          <w:numId w:val="2"/>
        </w:numPr>
        <w:spacing w:afterLines="40" w:after="96" w:line="240" w:lineRule="auto"/>
      </w:pPr>
      <w:r w:rsidRPr="00A262CE">
        <w:t xml:space="preserve">Should </w:t>
      </w:r>
      <w:r w:rsidR="001A11CD">
        <w:t xml:space="preserve">resource rent, as used in this paper, be expanded to include mineral taxes? </w:t>
      </w:r>
      <w:r>
        <w:t xml:space="preserve"> </w:t>
      </w:r>
    </w:p>
    <w:p w14:paraId="1EF70EDD" w14:textId="0D03F31C" w:rsidR="00211E02" w:rsidRDefault="00F92D90" w:rsidP="00093889">
      <w:pPr>
        <w:numPr>
          <w:ilvl w:val="1"/>
          <w:numId w:val="2"/>
        </w:numPr>
        <w:spacing w:afterLines="40" w:after="96" w:line="240" w:lineRule="auto"/>
      </w:pPr>
      <w:r>
        <w:t xml:space="preserve">We are leaning towards </w:t>
      </w:r>
      <w:r w:rsidRPr="00F92D90">
        <w:t>yes</w:t>
      </w:r>
      <w:r w:rsidR="00A267C0">
        <w:t>,</w:t>
      </w:r>
      <w:r w:rsidRPr="00F92D90">
        <w:t xml:space="preserve"> with the challenge being separating very specific resource targeting taxes vs. more general taxes on multi-industry production</w:t>
      </w:r>
      <w:r>
        <w:t>.</w:t>
      </w:r>
      <w:r w:rsidR="009D1366">
        <w:t xml:space="preserve"> </w:t>
      </w:r>
    </w:p>
    <w:p w14:paraId="63123F1A" w14:textId="72D3F2D5" w:rsidR="00A267C0" w:rsidRDefault="00A267C0" w:rsidP="00093889">
      <w:pPr>
        <w:numPr>
          <w:ilvl w:val="2"/>
          <w:numId w:val="2"/>
        </w:numPr>
        <w:spacing w:afterLines="40" w:after="96" w:line="240" w:lineRule="auto"/>
      </w:pPr>
      <w:r>
        <w:t xml:space="preserve">The SNA 2025 broadening definition of rent aligns with this opinion. Specifically, </w:t>
      </w:r>
      <w:r w:rsidRPr="00A267C0">
        <w:rPr>
          <w:i/>
          <w:iCs/>
        </w:rPr>
        <w:t>payments to government that may be referred to as royalties, sur-taxes or permits that concern the use of natural resources are now all treated as rent in cases where the government is an economic owner of the resource</w:t>
      </w:r>
      <w:r>
        <w:rPr>
          <w:i/>
          <w:iCs/>
        </w:rPr>
        <w:t xml:space="preserve"> (SNA2025 paragraphs </w:t>
      </w:r>
      <w:r w:rsidRPr="00A267C0">
        <w:rPr>
          <w:i/>
          <w:iCs/>
        </w:rPr>
        <w:t>8.173 and 30.90b</w:t>
      </w:r>
      <w:r>
        <w:rPr>
          <w:i/>
          <w:iCs/>
        </w:rPr>
        <w:t>).</w:t>
      </w:r>
    </w:p>
    <w:p w14:paraId="17674D8A" w14:textId="25D92786" w:rsidR="002A0795" w:rsidRDefault="00211E02" w:rsidP="00093889">
      <w:pPr>
        <w:numPr>
          <w:ilvl w:val="1"/>
          <w:numId w:val="2"/>
        </w:numPr>
        <w:spacing w:afterLines="40" w:after="96" w:line="240" w:lineRule="auto"/>
      </w:pPr>
      <w:r>
        <w:t>Some provinces do not have royalty regimes, instead relying on tax structures for resource revenue. Some provinces rely on both royalties and taxes. Depending on the data source used either all or only one stream of income is categorized as rent.</w:t>
      </w:r>
    </w:p>
    <w:p w14:paraId="42E6E34A" w14:textId="7AB5B78A" w:rsidR="0011489D" w:rsidRDefault="0011489D" w:rsidP="0069052B">
      <w:pPr>
        <w:numPr>
          <w:ilvl w:val="0"/>
          <w:numId w:val="2"/>
        </w:numPr>
        <w:spacing w:afterLines="40" w:after="96" w:line="240" w:lineRule="auto"/>
      </w:pPr>
      <w:r w:rsidRPr="00A262CE">
        <w:t>How should varying provincial royalty regimes for the same commodity be handled</w:t>
      </w:r>
      <w:r w:rsidR="00995537">
        <w:t>?</w:t>
      </w:r>
    </w:p>
    <w:p w14:paraId="2EAA53F1" w14:textId="7A1A6187" w:rsidR="0011489D" w:rsidRDefault="0011489D" w:rsidP="0069052B">
      <w:pPr>
        <w:pStyle w:val="ListParagraph"/>
        <w:numPr>
          <w:ilvl w:val="1"/>
          <w:numId w:val="2"/>
        </w:numPr>
        <w:spacing w:afterLines="40" w:after="96" w:line="240" w:lineRule="auto"/>
      </w:pPr>
      <w:r>
        <w:t>T</w:t>
      </w:r>
      <w:r w:rsidRPr="00B859A3">
        <w:t>he variations in how royalties are structured across provinces</w:t>
      </w:r>
      <w:r>
        <w:t xml:space="preserve"> is a major problem</w:t>
      </w:r>
      <w:r w:rsidR="00345BA7">
        <w:t xml:space="preserve"> when estimating royalty values. </w:t>
      </w:r>
      <w:r w:rsidRPr="00B859A3">
        <w:t xml:space="preserve"> </w:t>
      </w:r>
    </w:p>
    <w:p w14:paraId="235214AF" w14:textId="4BB10F3D" w:rsidR="0011489D" w:rsidRDefault="00345BA7" w:rsidP="0069052B">
      <w:pPr>
        <w:pStyle w:val="ListParagraph"/>
        <w:numPr>
          <w:ilvl w:val="1"/>
          <w:numId w:val="2"/>
        </w:numPr>
        <w:spacing w:afterLines="40" w:after="96" w:line="240" w:lineRule="auto"/>
      </w:pPr>
      <w:r>
        <w:t xml:space="preserve">Is </w:t>
      </w:r>
      <w:r w:rsidR="006563E8">
        <w:t xml:space="preserve">the methodology explored in this paper a </w:t>
      </w:r>
      <w:r w:rsidR="000B05E8">
        <w:t xml:space="preserve">reasonable </w:t>
      </w:r>
      <w:r w:rsidR="000B05E8" w:rsidRPr="00A30A65">
        <w:t>framework</w:t>
      </w:r>
      <w:r w:rsidR="0011489D" w:rsidRPr="00A30A65">
        <w:t xml:space="preserve"> that reflects the differing economic realities of each province</w:t>
      </w:r>
      <w:r w:rsidR="00BD7431">
        <w:t xml:space="preserve"> </w:t>
      </w:r>
      <w:r w:rsidR="0011489D" w:rsidRPr="00A30A65">
        <w:t>possible?</w:t>
      </w:r>
      <w:r w:rsidR="0011489D">
        <w:t xml:space="preserve"> </w:t>
      </w:r>
    </w:p>
    <w:p w14:paraId="5E7E5F26" w14:textId="77777777" w:rsidR="0069052B" w:rsidRDefault="0069052B" w:rsidP="0069052B">
      <w:pPr>
        <w:pStyle w:val="ListParagraph"/>
        <w:spacing w:afterLines="40" w:after="96" w:line="240" w:lineRule="auto"/>
        <w:ind w:left="1080"/>
      </w:pPr>
    </w:p>
    <w:p w14:paraId="0C711490" w14:textId="77777777" w:rsidR="0051260C" w:rsidRPr="009B21AA" w:rsidRDefault="0051260C" w:rsidP="0069052B">
      <w:pPr>
        <w:numPr>
          <w:ilvl w:val="0"/>
          <w:numId w:val="2"/>
        </w:numPr>
        <w:spacing w:afterLines="40" w:after="96" w:line="240" w:lineRule="auto"/>
      </w:pPr>
      <w:r w:rsidRPr="009B21AA">
        <w:t>When royalties are used as a proxy for resource rent, how should split ownership of natural resource asset values be determined when estimated resource rent is negative?</w:t>
      </w:r>
    </w:p>
    <w:p w14:paraId="55FEEAED" w14:textId="284F26CA" w:rsidR="00A11BBA" w:rsidRDefault="00A11BBA" w:rsidP="0069052B">
      <w:pPr>
        <w:numPr>
          <w:ilvl w:val="1"/>
          <w:numId w:val="2"/>
        </w:numPr>
        <w:spacing w:afterLines="40" w:after="96" w:line="240" w:lineRule="auto"/>
      </w:pPr>
      <w:r w:rsidRPr="001C1584">
        <w:t xml:space="preserve">Negative resource rent </w:t>
      </w:r>
      <w:r>
        <w:t xml:space="preserve">has always </w:t>
      </w:r>
      <w:r w:rsidRPr="001C1584">
        <w:t>present</w:t>
      </w:r>
      <w:r>
        <w:t>ed</w:t>
      </w:r>
      <w:r w:rsidRPr="001C1584">
        <w:t xml:space="preserve"> </w:t>
      </w:r>
      <w:r>
        <w:t>a</w:t>
      </w:r>
      <w:r w:rsidRPr="001C1584">
        <w:t xml:space="preserve"> challenge when allocating resource asset values, as it result</w:t>
      </w:r>
      <w:r w:rsidR="009B21AA">
        <w:t>s</w:t>
      </w:r>
      <w:r w:rsidRPr="001C1584">
        <w:t xml:space="preserve"> in a negative net present value (NPV) or, </w:t>
      </w:r>
      <w:r w:rsidR="009B21AA">
        <w:t>as recommended by SEEA</w:t>
      </w:r>
      <w:r w:rsidR="001C6499">
        <w:t>-</w:t>
      </w:r>
      <w:r w:rsidR="009B21AA">
        <w:t>CF</w:t>
      </w:r>
      <w:r w:rsidRPr="001C1584">
        <w:t xml:space="preserve">, an NPV that is set to zero. </w:t>
      </w:r>
    </w:p>
    <w:p w14:paraId="44C4326A" w14:textId="117F58FE" w:rsidR="009B21AA" w:rsidRPr="00BD6AF4" w:rsidRDefault="009B21AA" w:rsidP="0069052B">
      <w:pPr>
        <w:pStyle w:val="ListParagraph"/>
        <w:numPr>
          <w:ilvl w:val="1"/>
          <w:numId w:val="2"/>
        </w:numPr>
        <w:spacing w:afterLines="40" w:after="96" w:line="240" w:lineRule="auto"/>
      </w:pPr>
      <w:r w:rsidRPr="00BD6AF4">
        <w:t xml:space="preserve">Royalties reflect legal ownership rights to the </w:t>
      </w:r>
      <w:r w:rsidR="000630B6" w:rsidRPr="00BD6AF4">
        <w:t>resource</w:t>
      </w:r>
      <w:r w:rsidRPr="00BD6AF4">
        <w:t xml:space="preserve"> and are a rent payment for access to the </w:t>
      </w:r>
      <w:r w:rsidR="000630B6" w:rsidRPr="00BD6AF4">
        <w:t>resource by the extractor.</w:t>
      </w:r>
      <w:r w:rsidRPr="00BD6AF4">
        <w:t xml:space="preserve"> </w:t>
      </w:r>
      <w:r w:rsidR="000630B6" w:rsidRPr="00BD6AF4">
        <w:t xml:space="preserve">They are therefore </w:t>
      </w:r>
      <w:r w:rsidRPr="00BD6AF4">
        <w:t>payable regardless of project profitability. Yet, as a function of the split ownership of the resource value, should payments be ignored in favor of zero ownership allocation?</w:t>
      </w:r>
    </w:p>
    <w:p w14:paraId="167179F4" w14:textId="77777777" w:rsidR="00A11BBA" w:rsidRPr="00A262CE" w:rsidRDefault="00A11BBA" w:rsidP="00865033">
      <w:pPr>
        <w:pStyle w:val="ListParagraph"/>
        <w:spacing w:afterLines="40" w:after="96" w:line="240" w:lineRule="auto"/>
        <w:ind w:left="1080"/>
      </w:pPr>
    </w:p>
    <w:p w14:paraId="3014B4EE" w14:textId="77777777" w:rsidR="0011489D" w:rsidRPr="0011489D" w:rsidRDefault="0011489D" w:rsidP="00BD7431"/>
    <w:p w14:paraId="14BD1311" w14:textId="2B20E5F5" w:rsidR="005E2054" w:rsidRDefault="002A0795" w:rsidP="00E026F0">
      <w:pPr>
        <w:pStyle w:val="Heading2"/>
      </w:pPr>
      <w:r>
        <w:t>5</w:t>
      </w:r>
      <w:r w:rsidR="00E026F0">
        <w:t xml:space="preserve">.0 </w:t>
      </w:r>
      <w:r w:rsidR="005E2054">
        <w:t>Future work</w:t>
      </w:r>
    </w:p>
    <w:p w14:paraId="79C773EC" w14:textId="5D98D892" w:rsidR="0011489D" w:rsidRPr="0011489D" w:rsidRDefault="0011489D" w:rsidP="00BD7431"/>
    <w:p w14:paraId="6E5D0D46" w14:textId="5D2DD10E" w:rsidR="00400FBB" w:rsidRPr="00A262CE" w:rsidRDefault="00A616C6" w:rsidP="00400FBB">
      <w:pPr>
        <w:spacing w:afterLines="40" w:after="96" w:line="240" w:lineRule="auto"/>
      </w:pPr>
      <w:r>
        <w:t>Work to come for sectoring resource asset value to all economic owners</w:t>
      </w:r>
      <w:r w:rsidR="00400FBB" w:rsidRPr="00A262CE">
        <w:t>:</w:t>
      </w:r>
    </w:p>
    <w:p w14:paraId="32AEC505" w14:textId="5DAA89F6" w:rsidR="004E304B" w:rsidRDefault="005E2054" w:rsidP="00093889">
      <w:pPr>
        <w:pStyle w:val="ListParagraph"/>
        <w:numPr>
          <w:ilvl w:val="0"/>
          <w:numId w:val="6"/>
        </w:numPr>
        <w:spacing w:afterLines="40" w:after="96" w:line="240" w:lineRule="auto"/>
      </w:pPr>
      <w:r>
        <w:lastRenderedPageBreak/>
        <w:t xml:space="preserve">Incorporating Indigenous </w:t>
      </w:r>
      <w:r w:rsidR="006225E6">
        <w:t xml:space="preserve">governments </w:t>
      </w:r>
      <w:r>
        <w:t xml:space="preserve">in the split </w:t>
      </w:r>
      <w:r w:rsidR="006225E6">
        <w:t xml:space="preserve">ownership </w:t>
      </w:r>
      <w:r>
        <w:t xml:space="preserve">of </w:t>
      </w:r>
      <w:r w:rsidR="00860656">
        <w:t>natural</w:t>
      </w:r>
      <w:r>
        <w:t xml:space="preserve"> resource asset</w:t>
      </w:r>
      <w:r w:rsidR="006225E6">
        <w:t xml:space="preserve"> value</w:t>
      </w:r>
      <w:r>
        <w:t xml:space="preserve">. </w:t>
      </w:r>
    </w:p>
    <w:p w14:paraId="45FAC368" w14:textId="1F6B7B15" w:rsidR="004E304B" w:rsidRDefault="00A94763" w:rsidP="00093889">
      <w:pPr>
        <w:numPr>
          <w:ilvl w:val="1"/>
          <w:numId w:val="6"/>
        </w:numPr>
        <w:spacing w:afterLines="40" w:after="96" w:line="240" w:lineRule="auto"/>
      </w:pPr>
      <w:r>
        <w:t xml:space="preserve">Natural resource revenue sharing agreements are negotiated between provinces and </w:t>
      </w:r>
      <w:r w:rsidR="006225E6">
        <w:t>I</w:t>
      </w:r>
      <w:r>
        <w:t xml:space="preserve">ndigenous </w:t>
      </w:r>
      <w:r w:rsidR="006225E6">
        <w:t xml:space="preserve">governments; </w:t>
      </w:r>
      <w:r>
        <w:t>the j</w:t>
      </w:r>
      <w:r w:rsidRPr="00A94763">
        <w:t xml:space="preserve">urisdiction </w:t>
      </w:r>
      <w:r w:rsidR="006225E6">
        <w:t>over</w:t>
      </w:r>
      <w:r w:rsidRPr="00A94763">
        <w:t xml:space="preserve"> collect</w:t>
      </w:r>
      <w:r w:rsidR="006225E6">
        <w:t>ion of</w:t>
      </w:r>
      <w:r w:rsidRPr="00A94763">
        <w:t xml:space="preserve"> natural resources royalties lies primarily with provincial and territorial governments.</w:t>
      </w:r>
      <w:r w:rsidR="00C35968">
        <w:t xml:space="preserve"> Reaching out to each province</w:t>
      </w:r>
      <w:r w:rsidR="006225E6">
        <w:t>/territorial government</w:t>
      </w:r>
      <w:r w:rsidR="00C35968">
        <w:t xml:space="preserve"> for more information would be the next step.</w:t>
      </w:r>
    </w:p>
    <w:p w14:paraId="4440194B" w14:textId="0490FDB4" w:rsidR="004E304B" w:rsidRDefault="00C35968" w:rsidP="00093889">
      <w:pPr>
        <w:numPr>
          <w:ilvl w:val="1"/>
          <w:numId w:val="6"/>
        </w:numPr>
        <w:spacing w:afterLines="40" w:after="96" w:line="240" w:lineRule="auto"/>
      </w:pPr>
      <w:r>
        <w:t xml:space="preserve">For payments made directly to </w:t>
      </w:r>
      <w:r w:rsidR="009C193A">
        <w:t xml:space="preserve">Indigenous </w:t>
      </w:r>
      <w:r w:rsidR="006225E6">
        <w:t>governments</w:t>
      </w:r>
      <w:r w:rsidR="009C193A">
        <w:t>, o</w:t>
      </w:r>
      <w:r w:rsidR="00D172D1">
        <w:t xml:space="preserve">nly Nunavut Tunngavik Incorporated has an established royalty regime for </w:t>
      </w:r>
      <w:r w:rsidR="006225E6">
        <w:t xml:space="preserve">mineral </w:t>
      </w:r>
      <w:r w:rsidR="00D172D1">
        <w:t>extract</w:t>
      </w:r>
      <w:r w:rsidR="006225E6">
        <w:t>ion</w:t>
      </w:r>
      <w:r w:rsidR="00D172D1">
        <w:t xml:space="preserve"> on Inuit owned land</w:t>
      </w:r>
      <w:r w:rsidR="006225E6">
        <w:t>;</w:t>
      </w:r>
      <w:r w:rsidR="00D172D1">
        <w:t xml:space="preserve"> however</w:t>
      </w:r>
      <w:r w:rsidR="006225E6">
        <w:t>,</w:t>
      </w:r>
      <w:r w:rsidR="00D172D1">
        <w:t xml:space="preserve"> royalty data </w:t>
      </w:r>
      <w:r w:rsidR="006225E6">
        <w:t>are</w:t>
      </w:r>
      <w:r w:rsidR="00D172D1">
        <w:t xml:space="preserve"> not readily available. </w:t>
      </w:r>
    </w:p>
    <w:p w14:paraId="010D29D3" w14:textId="0FC3699C" w:rsidR="00CA2D2E" w:rsidRDefault="00C07B0F" w:rsidP="00093889">
      <w:pPr>
        <w:numPr>
          <w:ilvl w:val="1"/>
          <w:numId w:val="6"/>
        </w:numPr>
        <w:spacing w:afterLines="40" w:after="96" w:line="240" w:lineRule="auto"/>
      </w:pPr>
      <w:r>
        <w:t>Currently</w:t>
      </w:r>
      <w:r w:rsidR="00827532">
        <w:t xml:space="preserve">, estimates of non-financial and financial assets and liabilities of the Indigenous General Governments sector are available </w:t>
      </w:r>
      <w:r>
        <w:t>in the National Balance Sheet</w:t>
      </w:r>
      <w:r w:rsidR="00827532">
        <w:t xml:space="preserve"> Accounts</w:t>
      </w:r>
      <w:r w:rsidR="00E57218">
        <w:t>.</w:t>
      </w:r>
      <w:r>
        <w:t xml:space="preserve"> </w:t>
      </w:r>
      <w:r w:rsidR="00E57218">
        <w:t>Recently</w:t>
      </w:r>
      <w:r w:rsidR="00827532">
        <w:t>,</w:t>
      </w:r>
      <w:r w:rsidR="00E57218">
        <w:t xml:space="preserve"> an analytical </w:t>
      </w:r>
      <w:r w:rsidR="00CC4998">
        <w:t>article</w:t>
      </w:r>
      <w:r w:rsidR="00E57218">
        <w:t xml:space="preserve"> was released </w:t>
      </w:r>
      <w:r w:rsidR="00827532">
        <w:t>at the time of the third quarter 2025 release of the NBSA</w:t>
      </w:r>
      <w:r w:rsidR="00E57218">
        <w:t xml:space="preserve"> that provides an overview of potential future expansions of the accounts, including p</w:t>
      </w:r>
      <w:r>
        <w:t xml:space="preserve">reliminary estimates of Indigenous </w:t>
      </w:r>
      <w:r w:rsidR="00E57218">
        <w:t xml:space="preserve">ownership of natural resources assets excluding land, using </w:t>
      </w:r>
      <w:r w:rsidR="00827532">
        <w:t xml:space="preserve">available </w:t>
      </w:r>
      <w:r w:rsidR="00E57218">
        <w:t xml:space="preserve">royalty </w:t>
      </w:r>
      <w:r w:rsidR="00E614A4">
        <w:t>data. However</w:t>
      </w:r>
      <w:r w:rsidR="004F5473">
        <w:t>,</w:t>
      </w:r>
      <w:r>
        <w:t xml:space="preserve"> the</w:t>
      </w:r>
      <w:r w:rsidR="00E57218">
        <w:t xml:space="preserve">se estimates </w:t>
      </w:r>
      <w:r>
        <w:t>contain several limitations. They only cover First Nations governments and are presented on a fiscal year basis (March 31 year-end). For more information</w:t>
      </w:r>
      <w:r w:rsidR="00D26A8B">
        <w:t xml:space="preserve"> on </w:t>
      </w:r>
      <w:r w:rsidR="00D26A8B" w:rsidRPr="00D26A8B">
        <w:t>experimental estimates for Indigenous General Governments balance sheet</w:t>
      </w:r>
      <w:r>
        <w:t xml:space="preserve"> refer to ‘</w:t>
      </w:r>
      <w:hyperlink r:id="rId28" w:history="1">
        <w:r w:rsidRPr="00C07B0F">
          <w:rPr>
            <w:rStyle w:val="Hyperlink"/>
          </w:rPr>
          <w:t>An overview of the revisions to the Financial and Wealth Accounts, 1999 to 2025</w:t>
        </w:r>
      </w:hyperlink>
      <w:r>
        <w:t xml:space="preserve">’. </w:t>
      </w:r>
    </w:p>
    <w:p w14:paraId="466DD2C8" w14:textId="77777777" w:rsidR="00640A0F" w:rsidRDefault="00640A0F" w:rsidP="00640A0F">
      <w:pPr>
        <w:spacing w:afterLines="40" w:after="96" w:line="240" w:lineRule="auto"/>
        <w:ind w:left="1080"/>
      </w:pPr>
    </w:p>
    <w:p w14:paraId="0012C899" w14:textId="13C36987" w:rsidR="00827532" w:rsidRDefault="00827532" w:rsidP="00093889">
      <w:pPr>
        <w:numPr>
          <w:ilvl w:val="0"/>
          <w:numId w:val="6"/>
        </w:numPr>
        <w:spacing w:afterLines="40" w:after="96" w:line="240" w:lineRule="auto"/>
      </w:pPr>
      <w:r>
        <w:t xml:space="preserve">Incorporating other sectors in the value split of the natural resource assets. </w:t>
      </w:r>
    </w:p>
    <w:p w14:paraId="7D3C2732" w14:textId="08662174" w:rsidR="00827532" w:rsidRDefault="00827532" w:rsidP="00093889">
      <w:pPr>
        <w:numPr>
          <w:ilvl w:val="1"/>
          <w:numId w:val="6"/>
        </w:numPr>
        <w:spacing w:afterLines="40" w:after="96" w:line="240" w:lineRule="auto"/>
      </w:pPr>
      <w:r>
        <w:t xml:space="preserve">Freehold </w:t>
      </w:r>
      <w:r w:rsidRPr="00827532">
        <w:t>mineral rights can be owned by individuals and companies</w:t>
      </w:r>
      <w:r>
        <w:t>. Given that this may correspond to allocations of natural resource wealth to households and financial corporations, or even non-resource extracting non-financial corporations</w:t>
      </w:r>
      <w:r w:rsidR="004F5473">
        <w:t>,</w:t>
      </w:r>
      <w:r>
        <w:t xml:space="preserve"> future work is warranted t</w:t>
      </w:r>
      <w:r w:rsidR="00CC0EC2">
        <w:t xml:space="preserve">o </w:t>
      </w:r>
      <w:r>
        <w:t>determine the materiality of these allocations.</w:t>
      </w:r>
    </w:p>
    <w:p w14:paraId="56B2EB20" w14:textId="7C7D049D" w:rsidR="0016676D" w:rsidRDefault="0016676D">
      <w:r>
        <w:br w:type="page"/>
      </w:r>
    </w:p>
    <w:p w14:paraId="6326E3A2" w14:textId="77777777" w:rsidR="00453140" w:rsidRDefault="00453140" w:rsidP="00453140"/>
    <w:p w14:paraId="061A2861" w14:textId="52F7E524" w:rsidR="00C87A3B" w:rsidRDefault="008C413F" w:rsidP="001543F9">
      <w:pPr>
        <w:pStyle w:val="Heading2"/>
      </w:pPr>
      <w:r>
        <w:t>Appendix A</w:t>
      </w:r>
      <w:r w:rsidR="0066693B">
        <w:t xml:space="preserve">- </w:t>
      </w:r>
      <w:r w:rsidR="003A3DDC">
        <w:t xml:space="preserve">Terms and </w:t>
      </w:r>
      <w:r w:rsidR="0066693B">
        <w:t>definitions</w:t>
      </w:r>
    </w:p>
    <w:p w14:paraId="0C5D97C1" w14:textId="77777777" w:rsidR="0016224D" w:rsidRPr="0016224D" w:rsidRDefault="0016224D" w:rsidP="0016224D"/>
    <w:p w14:paraId="7448732B" w14:textId="7E66AC87" w:rsidR="00C87A3B" w:rsidRDefault="00C87A3B" w:rsidP="00C87A3B">
      <w:pPr>
        <w:rPr>
          <w:rFonts w:hAnsi="Calibri"/>
          <w:color w:val="000000" w:themeColor="dark1"/>
        </w:rPr>
      </w:pPr>
      <w:r>
        <w:rPr>
          <w:rFonts w:hAnsi="Calibri"/>
          <w:color w:val="000000" w:themeColor="dark1"/>
        </w:rPr>
        <w:t xml:space="preserve">1. </w:t>
      </w:r>
      <w:r w:rsidR="00105DD3">
        <w:rPr>
          <w:rFonts w:hAnsi="Calibri"/>
          <w:color w:val="000000" w:themeColor="dark1"/>
        </w:rPr>
        <w:t xml:space="preserve">Rent definition by </w:t>
      </w:r>
      <w:r>
        <w:rPr>
          <w:rFonts w:hAnsi="Calibri"/>
          <w:color w:val="000000" w:themeColor="dark1"/>
        </w:rPr>
        <w:t>Canadian Government Finance Statistics (CGFS)</w:t>
      </w:r>
      <w:r w:rsidR="005E24C2">
        <w:rPr>
          <w:rFonts w:hAnsi="Calibri"/>
          <w:color w:val="000000" w:themeColor="dark1"/>
        </w:rPr>
        <w:t xml:space="preserve"> </w:t>
      </w:r>
      <w:r w:rsidR="005E24C2" w:rsidRPr="005E24C2">
        <w:rPr>
          <w:rFonts w:hAnsi="Calibri"/>
          <w:color w:val="000000" w:themeColor="dark1"/>
        </w:rPr>
        <w:t>https://www.statcan.gc.ca/en/statistical-programs/document/5174_D4_T9_V1-eng.pdf</w:t>
      </w:r>
    </w:p>
    <w:p w14:paraId="1A773B00" w14:textId="19F6F1CD" w:rsidR="00C87A3B" w:rsidRDefault="00C87A3B" w:rsidP="001140CC">
      <w:pPr>
        <w:ind w:left="720"/>
        <w:rPr>
          <w:rFonts w:hAnsi="Calibri"/>
          <w:color w:val="000000" w:themeColor="dark1"/>
        </w:rPr>
      </w:pPr>
      <w:r>
        <w:rPr>
          <w:rFonts w:hAnsi="Calibri"/>
          <w:color w:val="000000" w:themeColor="dark1"/>
        </w:rPr>
        <w:t xml:space="preserve">5.91 Rent (1415). Rent is the property income received from certain leases of land, subsoil assets, and other naturally occurring assets. </w:t>
      </w:r>
    </w:p>
    <w:p w14:paraId="31DDDB97" w14:textId="21FDE282" w:rsidR="009774C6" w:rsidRDefault="009774C6" w:rsidP="00501ACE">
      <w:pPr>
        <w:ind w:left="720"/>
        <w:rPr>
          <w:rFonts w:hAnsi="Calibri"/>
          <w:color w:val="000000" w:themeColor="dark1"/>
        </w:rPr>
      </w:pPr>
      <w:r w:rsidRPr="009774C6">
        <w:rPr>
          <w:rFonts w:hAnsi="Calibri"/>
          <w:color w:val="000000" w:themeColor="dark1"/>
        </w:rPr>
        <w:t>5.92 As with interest, rent accrues continuously to the asset’s owner throughout the period of the contract. The rent recorded for a particular accounting period is, therefore, equal to the value of the accumulated rent that becomes payable over the accounting period and may differ from the amount of rent that becomes due for payment or is actually paid during the period.</w:t>
      </w:r>
    </w:p>
    <w:p w14:paraId="5932A46A" w14:textId="77777777" w:rsidR="0016224D" w:rsidRDefault="0016224D" w:rsidP="0016224D">
      <w:pPr>
        <w:ind w:left="720"/>
        <w:rPr>
          <w:rFonts w:hAnsi="Calibri"/>
          <w:color w:val="000000" w:themeColor="dark1"/>
        </w:rPr>
      </w:pPr>
      <w:r w:rsidRPr="0016224D">
        <w:rPr>
          <w:rFonts w:hAnsi="Calibri"/>
          <w:color w:val="000000" w:themeColor="dark1"/>
        </w:rPr>
        <w:t>G</w:t>
      </w:r>
      <w:r w:rsidR="00C87A3B" w:rsidRPr="0016224D">
        <w:rPr>
          <w:rFonts w:hAnsi="Calibri"/>
          <w:color w:val="000000" w:themeColor="dark1"/>
        </w:rPr>
        <w:t>eneral government units may own subsoil assets in the form of deposits of minerals or fossil fuels and may grant leases that permit other units to extract these deposits over a specified period of time in return for a payment or series of payments. These payments are often described as “royalties,” but they are rents that accrue to owners of assets in return for putting the assets at the disposal of other units for specified periods of time. The rents may take the form of periodic payments of fixed amounts, irrespective of the rate of extraction, or, more usually, will be derived according to the quantity, volume, or value of the asset extracted.</w:t>
      </w:r>
      <w:r w:rsidR="009774C6" w:rsidRPr="0016224D">
        <w:rPr>
          <w:rFonts w:hAnsi="Calibri"/>
          <w:color w:val="000000" w:themeColor="dark1"/>
        </w:rPr>
        <w:t xml:space="preserve"> </w:t>
      </w:r>
      <w:r w:rsidR="00C87A3B" w:rsidRPr="0016224D">
        <w:rPr>
          <w:rFonts w:hAnsi="Calibri"/>
          <w:color w:val="000000" w:themeColor="dark1"/>
        </w:rPr>
        <w:t>Enterprises engaged in exploration on government land may make payments to general government units in exchange for the right to undertake test drilling or otherwise investigate the existence and location of subsoil assets. Such payments are also treated as rents even though no extraction may take place.</w:t>
      </w:r>
    </w:p>
    <w:p w14:paraId="518B02CB" w14:textId="336E7953" w:rsidR="004B0314" w:rsidRDefault="0016224D" w:rsidP="0084016F">
      <w:r>
        <w:rPr>
          <w:rFonts w:hAnsi="Calibri"/>
          <w:color w:val="000000" w:themeColor="dark1"/>
        </w:rPr>
        <w:t xml:space="preserve">2. </w:t>
      </w:r>
      <w:r>
        <w:t>R</w:t>
      </w:r>
      <w:r w:rsidR="004B0314">
        <w:t xml:space="preserve">ent </w:t>
      </w:r>
      <w:r w:rsidR="0084016F">
        <w:t>definition in System of National Accounts (SNA 2025)</w:t>
      </w:r>
      <w:r w:rsidR="004B0314">
        <w:t xml:space="preserve">, </w:t>
      </w:r>
    </w:p>
    <w:p w14:paraId="0D74BD04" w14:textId="77777777" w:rsidR="00927931" w:rsidRPr="00010509" w:rsidRDefault="00927931">
      <w:pPr>
        <w:spacing w:afterLines="40" w:after="96" w:line="240" w:lineRule="auto"/>
        <w:ind w:left="720"/>
      </w:pPr>
      <w:r w:rsidRPr="00010509">
        <w:t xml:space="preserve">8.164 Rent is the income receivable by the owner of a non-produced natural resource or another non-produced non financial asset (the lessor or landlord) for putting the asset at the disposal of another institutional unit (a lessee or tenant) for use in production. Three particular cases of rent are considered: rent on land, rent on mineral and energy resources, and rent on non-produced non-financial assets other than natural resources. Rent on non produced natural resources other than land and mineral and energy resources follows the pattern laid out by the first two instances. </w:t>
      </w:r>
    </w:p>
    <w:p w14:paraId="5CF6FC23" w14:textId="297D104E" w:rsidR="004B0314" w:rsidRPr="00010509" w:rsidRDefault="00927931">
      <w:pPr>
        <w:spacing w:afterLines="40" w:after="96" w:line="240" w:lineRule="auto"/>
        <w:ind w:left="720"/>
      </w:pPr>
      <w:r w:rsidRPr="00010509">
        <w:t xml:space="preserve">8.166 Rent should be clearly distinguished from “resource rent” or “natural resource rent”. The latter represents the surplus value accruing to the extractor of an asset after all costs have been taken into account; see paragraph 4A.32. </w:t>
      </w:r>
    </w:p>
    <w:p w14:paraId="7DE36918" w14:textId="77777777" w:rsidR="0016224D" w:rsidRPr="00010509" w:rsidRDefault="0016224D" w:rsidP="00186EBB">
      <w:pPr>
        <w:spacing w:after="0" w:line="240" w:lineRule="auto"/>
        <w:ind w:left="720"/>
      </w:pPr>
    </w:p>
    <w:p w14:paraId="4AB6D611" w14:textId="086B5246" w:rsidR="003E68D2" w:rsidRPr="00010509" w:rsidRDefault="003E68D2" w:rsidP="00186EBB">
      <w:pPr>
        <w:spacing w:after="0" w:line="240" w:lineRule="auto"/>
        <w:ind w:left="720"/>
      </w:pPr>
      <w:r w:rsidRPr="00010509">
        <w:t xml:space="preserve">27.30 Most commonly, mineral and energy resources remain in the legal ownership of general government, with users extracting mineral or energy resources under an agreement where the payments made each year are dependent on the amount extracted. The payments (sometimes described as royalties) are recorded as rent. The full resource rent can be estimated using the residual value method, by deducting from output all costs related to the extraction of the resources, including capital services related to the use of non-financial assets in production as well as rents payable on the use of (rented) non-produced non-financial assets other than the </w:t>
      </w:r>
      <w:r w:rsidRPr="00010509">
        <w:lastRenderedPageBreak/>
        <w:t xml:space="preserve">natural resource itself. (For more details, see the annex to chapter 4 on Flows, stock and accounting rules). </w:t>
      </w:r>
    </w:p>
    <w:p w14:paraId="62B22B55" w14:textId="77777777" w:rsidR="003E68D2" w:rsidRPr="00010509" w:rsidRDefault="003E68D2" w:rsidP="00186EBB">
      <w:pPr>
        <w:spacing w:after="0" w:line="240" w:lineRule="auto"/>
        <w:ind w:left="720"/>
      </w:pPr>
    </w:p>
    <w:p w14:paraId="7F98E499" w14:textId="43C11E3F" w:rsidR="003E68D2" w:rsidRPr="00010509" w:rsidRDefault="003E68D2" w:rsidP="00186EBB">
      <w:pPr>
        <w:spacing w:after="0" w:line="240" w:lineRule="auto"/>
        <w:ind w:left="720"/>
      </w:pPr>
      <w:r w:rsidRPr="00010509">
        <w:t>27.31 The legal owner (in many but not all circumstances a government) often does not appropriate the full resource rent which can be derived from the exploitation of mineral and energy resources, and the resource in question may generate a future stream of resource rents beyond the payments of rent to the legal owner. In these cases, the unit having the rights to exploit the resource thus appropriates part of the resource rents. In these cases, the value of the resources in question is split between the legal owner and the unit exploiting the resources applying the split-asset approach; see also paragraphs 14.56 to 14.58. An example of this is provided in Section D below.</w:t>
      </w:r>
    </w:p>
    <w:p w14:paraId="742D57B9" w14:textId="77777777" w:rsidR="00927931" w:rsidRDefault="00927931" w:rsidP="001F4EC2">
      <w:pPr>
        <w:spacing w:after="0" w:line="240" w:lineRule="auto"/>
        <w:ind w:left="720"/>
        <w:rPr>
          <w:i/>
          <w:iCs/>
        </w:rPr>
      </w:pPr>
    </w:p>
    <w:p w14:paraId="1B37A26B" w14:textId="77777777" w:rsidR="0087425D" w:rsidRDefault="0087425D" w:rsidP="0084016F">
      <w:pPr>
        <w:spacing w:after="0" w:line="240" w:lineRule="auto"/>
      </w:pPr>
    </w:p>
    <w:p w14:paraId="04EF8547" w14:textId="37E8DB5C" w:rsidR="0087425D" w:rsidRPr="0087425D" w:rsidRDefault="0087425D" w:rsidP="001F4EC2">
      <w:pPr>
        <w:pStyle w:val="ListParagraph"/>
        <w:numPr>
          <w:ilvl w:val="0"/>
          <w:numId w:val="6"/>
        </w:numPr>
        <w:spacing w:after="0" w:line="240" w:lineRule="auto"/>
        <w:rPr>
          <w:i/>
          <w:iCs/>
        </w:rPr>
      </w:pPr>
      <w:r>
        <w:t>Rent definition in SEEA Central Framework 2012:</w:t>
      </w:r>
    </w:p>
    <w:p w14:paraId="6E33AF22" w14:textId="77777777" w:rsidR="0016224D" w:rsidRDefault="0016224D" w:rsidP="0016224D">
      <w:pPr>
        <w:pStyle w:val="ListParagraph"/>
        <w:spacing w:afterLines="40" w:after="96" w:line="240" w:lineRule="auto"/>
        <w:ind w:left="360"/>
      </w:pPr>
    </w:p>
    <w:p w14:paraId="431AFF14" w14:textId="77777777" w:rsidR="0087425D" w:rsidRDefault="0087425D" w:rsidP="00010509">
      <w:pPr>
        <w:spacing w:afterLines="40" w:after="96" w:line="240" w:lineRule="auto"/>
      </w:pPr>
      <w:r>
        <w:t>Section 5.113:</w:t>
      </w:r>
    </w:p>
    <w:p w14:paraId="1631C9D6" w14:textId="0A679710" w:rsidR="0087425D" w:rsidRDefault="0087425D" w:rsidP="00010509">
      <w:pPr>
        <w:pStyle w:val="ListParagraph"/>
        <w:numPr>
          <w:ilvl w:val="0"/>
          <w:numId w:val="18"/>
        </w:numPr>
        <w:spacing w:afterLines="40" w:after="96" w:line="240" w:lineRule="auto"/>
      </w:pPr>
      <w:r>
        <w:t>I</w:t>
      </w:r>
      <w:r w:rsidRPr="0087425D">
        <w:t>n the SEEA, returns are defined using the concept of economic rent. Economic rent is best considered to be the surplus value accruing to the extractor or user of an asset calculated after all costs and normal returns have been taken into account.</w:t>
      </w:r>
    </w:p>
    <w:p w14:paraId="318B48B1" w14:textId="6B662BCC" w:rsidR="0087425D" w:rsidRDefault="0087425D" w:rsidP="00010509">
      <w:pPr>
        <w:pStyle w:val="ListParagraph"/>
        <w:numPr>
          <w:ilvl w:val="0"/>
          <w:numId w:val="18"/>
        </w:numPr>
        <w:spacing w:afterLines="40" w:after="96" w:line="240" w:lineRule="auto"/>
      </w:pPr>
      <w:r>
        <w:t>T</w:t>
      </w:r>
      <w:r w:rsidRPr="0087425D">
        <w:t>he surplus value, referred to as resource rent in the context of environmental assets, can be taken to be the return attributable to the asset itself.</w:t>
      </w:r>
    </w:p>
    <w:p w14:paraId="793B742C" w14:textId="6AFBFECE" w:rsidR="003A3DDC" w:rsidRDefault="003A3DDC" w:rsidP="00010509">
      <w:pPr>
        <w:pStyle w:val="ListParagraph"/>
        <w:numPr>
          <w:ilvl w:val="0"/>
          <w:numId w:val="18"/>
        </w:numPr>
        <w:spacing w:afterLines="40" w:after="96" w:line="240" w:lineRule="auto"/>
      </w:pPr>
      <w:r>
        <w:t xml:space="preserve">Resource rent, as a residual, may be positive or negative. </w:t>
      </w:r>
      <w:r w:rsidR="00174428">
        <w:t>If the resource rent is negative, then the estimated NPV of the asset is assumed to be zero</w:t>
      </w:r>
      <w:r>
        <w:t>, in conjunction with SEEA</w:t>
      </w:r>
      <w:r w:rsidR="00692923">
        <w:t>-</w:t>
      </w:r>
      <w:r w:rsidR="00386DE2">
        <w:t>CF</w:t>
      </w:r>
      <w:r w:rsidR="00692923">
        <w:t xml:space="preserve"> guidelines</w:t>
      </w:r>
      <w:r w:rsidR="0087425D">
        <w:t>.</w:t>
      </w:r>
    </w:p>
    <w:p w14:paraId="0DAA6167" w14:textId="672D3740" w:rsidR="0087425D" w:rsidRDefault="0087425D" w:rsidP="00010509">
      <w:pPr>
        <w:pStyle w:val="ListParagraph"/>
        <w:numPr>
          <w:ilvl w:val="0"/>
          <w:numId w:val="18"/>
        </w:numPr>
        <w:spacing w:afterLines="40" w:after="96" w:line="240" w:lineRule="auto"/>
      </w:pPr>
      <w:r>
        <w:t>T</w:t>
      </w:r>
      <w:r w:rsidRPr="0087425D">
        <w:t>he measurement of resource rent provides a gross measure of the return to environ mental assets.</w:t>
      </w:r>
    </w:p>
    <w:p w14:paraId="618F61C0" w14:textId="77777777" w:rsidR="0084016F" w:rsidRDefault="0084016F" w:rsidP="0084016F">
      <w:pPr>
        <w:spacing w:afterLines="40" w:after="96" w:line="240" w:lineRule="auto"/>
      </w:pPr>
    </w:p>
    <w:p w14:paraId="5923CF8E" w14:textId="63CA4394" w:rsidR="0084016F" w:rsidRDefault="0084016F" w:rsidP="0084016F">
      <w:pPr>
        <w:spacing w:afterLines="40" w:after="96" w:line="240" w:lineRule="auto"/>
      </w:pPr>
      <w:r>
        <w:t xml:space="preserve"> Split Ownership, SNA 2025</w:t>
      </w:r>
    </w:p>
    <w:p w14:paraId="6ABE3B8C" w14:textId="77777777" w:rsidR="00927931" w:rsidRPr="00010509" w:rsidRDefault="0084016F" w:rsidP="00010509">
      <w:pPr>
        <w:spacing w:after="0" w:line="240" w:lineRule="auto"/>
        <w:textAlignment w:val="center"/>
        <w:rPr>
          <w:rFonts w:ascii="Calibri" w:eastAsia="Times New Roman" w:hAnsi="Calibri" w:cs="Calibri"/>
        </w:rPr>
      </w:pPr>
      <w:r w:rsidRPr="00010509">
        <w:rPr>
          <w:rFonts w:ascii="Calibri" w:eastAsia="Times New Roman" w:hAnsi="Calibri" w:cs="Calibri"/>
        </w:rPr>
        <w:t>11.7 When government claims legal ownership of an item on behalf of the community at large, the economic benefits also accrue to the government on behalf of the community at large. Thus government is regarded as both the legal and economic owner of these items.</w:t>
      </w:r>
    </w:p>
    <w:p w14:paraId="3CC70DC0" w14:textId="77777777" w:rsidR="00010509" w:rsidRDefault="00010509" w:rsidP="00010509">
      <w:pPr>
        <w:spacing w:after="0" w:line="240" w:lineRule="auto"/>
        <w:textAlignment w:val="center"/>
        <w:rPr>
          <w:rFonts w:ascii="Calibri" w:eastAsia="Times New Roman" w:hAnsi="Calibri" w:cs="Calibri"/>
        </w:rPr>
      </w:pPr>
    </w:p>
    <w:p w14:paraId="0F934934" w14:textId="67AB96DA" w:rsidR="0084016F" w:rsidRPr="00010509" w:rsidRDefault="00927931" w:rsidP="00010509">
      <w:pPr>
        <w:spacing w:after="0" w:line="240" w:lineRule="auto"/>
        <w:textAlignment w:val="center"/>
        <w:rPr>
          <w:rFonts w:ascii="Calibri" w:eastAsia="Times New Roman" w:hAnsi="Calibri" w:cs="Calibri"/>
        </w:rPr>
      </w:pPr>
      <w:r w:rsidRPr="00010509">
        <w:rPr>
          <w:rFonts w:ascii="Calibri" w:eastAsia="Times New Roman" w:hAnsi="Calibri" w:cs="Calibri"/>
        </w:rPr>
        <w:t>11.8</w:t>
      </w:r>
      <w:r w:rsidR="0084016F" w:rsidRPr="00010509">
        <w:rPr>
          <w:rFonts w:ascii="Calibri" w:eastAsia="Times New Roman" w:hAnsi="Calibri" w:cs="Calibri"/>
        </w:rPr>
        <w:t xml:space="preserve"> Especially in relation to natural resources, a government is typically the legal owner and grants rights or permissions to use the resources to another institutional unit. In such cases, the economic benefits may be shared between the government and the user of the resources, and the economic ownership of the resources is split between the two institutional units involved, in line with the shares of natural resource rent each unit appropriates. (See chapter 27 for more details.) </w:t>
      </w:r>
    </w:p>
    <w:p w14:paraId="6829898D" w14:textId="77777777" w:rsidR="00010509" w:rsidRDefault="00010509" w:rsidP="00010509">
      <w:pPr>
        <w:spacing w:after="0" w:line="240" w:lineRule="auto"/>
        <w:textAlignment w:val="center"/>
        <w:rPr>
          <w:rFonts w:ascii="Calibri" w:eastAsia="Times New Roman" w:hAnsi="Calibri" w:cs="Calibri"/>
        </w:rPr>
      </w:pPr>
    </w:p>
    <w:p w14:paraId="206C01A5" w14:textId="456FAC15" w:rsidR="0084016F" w:rsidRPr="00010509" w:rsidRDefault="0084016F" w:rsidP="00010509">
      <w:pPr>
        <w:spacing w:after="0" w:line="240" w:lineRule="auto"/>
        <w:textAlignment w:val="center"/>
        <w:rPr>
          <w:rFonts w:ascii="Calibri" w:eastAsia="Times New Roman" w:hAnsi="Calibri" w:cs="Calibri"/>
        </w:rPr>
      </w:pPr>
      <w:r w:rsidRPr="00010509">
        <w:rPr>
          <w:rFonts w:ascii="Calibri" w:eastAsia="Times New Roman" w:hAnsi="Calibri" w:cs="Calibri"/>
        </w:rPr>
        <w:t xml:space="preserve">11.190. In the case of mineral and energy resources, a government is often the legal owner of the resources. Once a decision is taken to extract the resources, a license is given to a user/extractor to exploit the resources. In return for the license, the extractor typically pays an annual rent to the government. Any payments made by the user/extractor of a non-produced natural resource to the owner of the natural resource, which are linked to the use/extraction of that resource, in particular to the quantity and/or value of that resource, should be recorded as rent. These would include, for example, royalties, sur-taxes, and permits. However, payments that are paid by the user/extractor on the same basis as other corporations who are not users/extractors of non-produced natural resources (e.g., standard rate corporation taxes, dividends, payments for services) should not be recorded as rent. </w:t>
      </w:r>
    </w:p>
    <w:p w14:paraId="0381E3E9" w14:textId="77777777" w:rsidR="0084016F" w:rsidRDefault="0084016F" w:rsidP="0096182C">
      <w:pPr>
        <w:spacing w:afterLines="40" w:after="96" w:line="240" w:lineRule="auto"/>
      </w:pPr>
    </w:p>
    <w:p w14:paraId="7CB72323" w14:textId="77777777" w:rsidR="0016224D" w:rsidRDefault="0016224D" w:rsidP="00273631">
      <w:pPr>
        <w:spacing w:afterLines="40" w:after="96" w:line="240" w:lineRule="auto"/>
      </w:pPr>
    </w:p>
    <w:p w14:paraId="02C8E5B5" w14:textId="77777777" w:rsidR="00AD6DA3" w:rsidRDefault="0016224D" w:rsidP="00273631">
      <w:pPr>
        <w:spacing w:afterLines="40" w:after="96" w:line="240" w:lineRule="auto"/>
      </w:pPr>
      <w:r>
        <w:t>Net Present Value</w:t>
      </w:r>
      <w:r w:rsidR="00AD6DA3">
        <w:t>,</w:t>
      </w:r>
    </w:p>
    <w:p w14:paraId="68DF6F37" w14:textId="77777777" w:rsidR="00AD6DA3" w:rsidRDefault="00AD6DA3" w:rsidP="00AD6DA3">
      <w:pPr>
        <w:spacing w:afterLines="40" w:after="96" w:line="240" w:lineRule="auto"/>
      </w:pPr>
      <w:r w:rsidRPr="00273631">
        <w:t>The net present value</w:t>
      </w:r>
      <w:r>
        <w:t xml:space="preserve"> approach in resource asset valuation uses the discounted value of future returns. This approach uses projections of the future rate of extraction of the asset, together with projections of its price, to generate a time series of expected returns. </w:t>
      </w:r>
    </w:p>
    <w:p w14:paraId="183116CE" w14:textId="674EDFE5" w:rsidR="0016224D" w:rsidRDefault="00AD6DA3" w:rsidP="00273631">
      <w:pPr>
        <w:spacing w:afterLines="40" w:after="96" w:line="240" w:lineRule="auto"/>
      </w:pPr>
      <w:r>
        <w:t>As explained in ‘</w:t>
      </w:r>
      <w:hyperlink r:id="rId29" w:anchor="section-d1e4308-1d3f38bc0e" w:history="1">
        <w:r w:rsidRPr="00AD6DA3">
          <w:rPr>
            <w:rStyle w:val="Hyperlink"/>
          </w:rPr>
          <w:t>Valuation of natural resources: Measuring Natural Resources in the National Accounts | OECD</w:t>
        </w:r>
      </w:hyperlink>
      <w:r>
        <w:t xml:space="preserve">’ </w:t>
      </w:r>
    </w:p>
    <w:p w14:paraId="07877639" w14:textId="77777777" w:rsidR="00AD6DA3" w:rsidRPr="00AD6DA3" w:rsidRDefault="00AD6DA3" w:rsidP="00AD6DA3">
      <w:pPr>
        <w:spacing w:afterLines="40" w:after="96" w:line="240" w:lineRule="auto"/>
        <w:rPr>
          <w:b/>
          <w:bCs/>
          <w:i/>
          <w:iCs/>
          <w:lang w:val="en-US"/>
        </w:rPr>
      </w:pPr>
      <w:r w:rsidRPr="00AD6DA3">
        <w:rPr>
          <w:b/>
          <w:bCs/>
          <w:i/>
          <w:iCs/>
          <w:lang w:val="en-US"/>
        </w:rPr>
        <w:t>3.3.2. Net Present Value method</w:t>
      </w:r>
    </w:p>
    <w:p w14:paraId="72CF0B2C" w14:textId="77777777" w:rsidR="00AD6DA3" w:rsidRPr="00AD6DA3" w:rsidRDefault="00AD6DA3" w:rsidP="00AD6DA3">
      <w:pPr>
        <w:spacing w:afterLines="40" w:after="96" w:line="240" w:lineRule="auto"/>
        <w:rPr>
          <w:i/>
          <w:iCs/>
          <w:lang w:val="en-US"/>
        </w:rPr>
      </w:pPr>
      <w:r w:rsidRPr="00AD6DA3">
        <w:rPr>
          <w:i/>
          <w:iCs/>
          <w:lang w:val="en-US"/>
        </w:rPr>
        <w:t>151. The asset value of the natural resource can be measured by applying the NPV method which converts future resource rents (flows) into a current period estimate of value (stock) by discounting:</w:t>
      </w:r>
    </w:p>
    <w:p w14:paraId="0BEC861B" w14:textId="77777777" w:rsidR="00AD6DA3" w:rsidRDefault="00AD6DA3" w:rsidP="00AD6DA3">
      <w:pPr>
        <w:spacing w:afterLines="40" w:after="96" w:line="240" w:lineRule="auto"/>
        <w:rPr>
          <w:b/>
          <w:bCs/>
          <w:i/>
          <w:iCs/>
          <w:lang w:val="en-US"/>
        </w:rPr>
      </w:pPr>
      <w:r w:rsidRPr="00AD6DA3">
        <w:rPr>
          <w:b/>
          <w:bCs/>
          <w:i/>
          <w:iCs/>
          <w:lang w:val="en-US"/>
        </w:rPr>
        <w:t>Equation 3.1</w:t>
      </w:r>
    </w:p>
    <w:p w14:paraId="2D83C849" w14:textId="5E1ADD84" w:rsidR="00AD6DA3" w:rsidRDefault="00AD6DA3" w:rsidP="00AD6DA3">
      <w:pPr>
        <w:spacing w:afterLines="40" w:after="96" w:line="240" w:lineRule="auto"/>
        <w:rPr>
          <w:b/>
          <w:bCs/>
          <w:i/>
          <w:iCs/>
          <w:lang w:val="en-US"/>
        </w:rPr>
      </w:pPr>
      <w:r w:rsidRPr="00AD6DA3">
        <w:rPr>
          <w:b/>
          <w:bCs/>
          <w:i/>
          <w:iCs/>
          <w:noProof/>
          <w:lang w:val="en-US"/>
        </w:rPr>
        <w:drawing>
          <wp:inline distT="0" distB="0" distL="0" distR="0" wp14:anchorId="47B0F954" wp14:editId="6B59E654">
            <wp:extent cx="2591162" cy="1267002"/>
            <wp:effectExtent l="0" t="0" r="0" b="9525"/>
            <wp:docPr id="1868770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770050" name=""/>
                    <pic:cNvPicPr/>
                  </pic:nvPicPr>
                  <pic:blipFill>
                    <a:blip r:embed="rId30"/>
                    <a:stretch>
                      <a:fillRect/>
                    </a:stretch>
                  </pic:blipFill>
                  <pic:spPr>
                    <a:xfrm>
                      <a:off x="0" y="0"/>
                      <a:ext cx="2591162" cy="1267002"/>
                    </a:xfrm>
                    <a:prstGeom prst="rect">
                      <a:avLst/>
                    </a:prstGeom>
                  </pic:spPr>
                </pic:pic>
              </a:graphicData>
            </a:graphic>
          </wp:inline>
        </w:drawing>
      </w:r>
    </w:p>
    <w:p w14:paraId="61B7C373" w14:textId="77777777" w:rsidR="00AD6DA3" w:rsidRPr="00AD6DA3" w:rsidRDefault="00AD6DA3" w:rsidP="00AD6DA3">
      <w:pPr>
        <w:spacing w:afterLines="40" w:after="96" w:line="240" w:lineRule="auto"/>
        <w:rPr>
          <w:b/>
          <w:bCs/>
          <w:i/>
          <w:iCs/>
          <w:lang w:val="en-US"/>
        </w:rPr>
      </w:pPr>
    </w:p>
    <w:p w14:paraId="0BE17BAD" w14:textId="4A008ECD" w:rsidR="00AD6DA3" w:rsidRPr="004C12BD" w:rsidRDefault="00AD6DA3" w:rsidP="00AD6DA3">
      <w:pPr>
        <w:spacing w:afterLines="40" w:after="96" w:line="240" w:lineRule="auto"/>
        <w:rPr>
          <w:lang w:val="en-US"/>
        </w:rPr>
      </w:pPr>
      <w:r w:rsidRPr="004C12BD">
        <w:t>with V</w:t>
      </w:r>
      <w:r w:rsidRPr="004C12BD">
        <w:rPr>
          <w:vertAlign w:val="superscript"/>
        </w:rPr>
        <w:t>t</w:t>
      </w:r>
      <w:r w:rsidRPr="004C12BD">
        <w:t xml:space="preserve"> </w:t>
      </w:r>
      <w:r w:rsidRPr="004C12BD">
        <w:rPr>
          <w:lang w:val="en-US"/>
        </w:rPr>
        <w:t>the opening stock value at time t; the resource rent generated during year t; r the discount rate, and N the asset life of the natural resource.</w:t>
      </w:r>
    </w:p>
    <w:p w14:paraId="6452425C" w14:textId="639CF07E" w:rsidR="00AD6DA3" w:rsidRPr="004C12BD" w:rsidRDefault="00AD6DA3" w:rsidP="00AD6DA3">
      <w:pPr>
        <w:spacing w:afterLines="40" w:after="96" w:line="240" w:lineRule="auto"/>
        <w:rPr>
          <w:lang w:val="en-US"/>
        </w:rPr>
      </w:pPr>
      <w:r w:rsidRPr="004C12BD">
        <w:rPr>
          <w:lang w:val="en-US"/>
        </w:rPr>
        <w:t>The main theory (2025 SNA, Chapter 17) behind using NPV is that the value of an asset should be equal to the benefits (capital services, described here as resource rents) that we expect to derive from its use over its expected lifetime.</w:t>
      </w:r>
    </w:p>
    <w:p w14:paraId="54B611E6" w14:textId="77777777" w:rsidR="00AD6DA3" w:rsidRPr="00AD6DA3" w:rsidRDefault="00AD6DA3" w:rsidP="00273631">
      <w:pPr>
        <w:spacing w:afterLines="40" w:after="96" w:line="240" w:lineRule="auto"/>
        <w:rPr>
          <w:i/>
          <w:iCs/>
          <w:lang w:val="en-US"/>
        </w:rPr>
      </w:pPr>
    </w:p>
    <w:p w14:paraId="044AB2A9" w14:textId="5A6DC7A4" w:rsidR="009005D2" w:rsidRDefault="009005D2" w:rsidP="00273631">
      <w:pPr>
        <w:pStyle w:val="Heading2"/>
      </w:pPr>
      <w:r>
        <w:br w:type="column"/>
      </w:r>
      <w:r w:rsidR="008C413F">
        <w:lastRenderedPageBreak/>
        <w:t>Appendix B</w:t>
      </w:r>
      <w:r w:rsidR="0066693B">
        <w:t xml:space="preserve">- </w:t>
      </w:r>
      <w:r w:rsidR="00B47784">
        <w:t>R</w:t>
      </w:r>
      <w:r w:rsidR="0066693B">
        <w:t xml:space="preserve">egimes </w:t>
      </w:r>
    </w:p>
    <w:p w14:paraId="35775697" w14:textId="77777777" w:rsidR="00665141" w:rsidRDefault="00665141" w:rsidP="008C413F">
      <w:pPr>
        <w:pStyle w:val="ListParagraph"/>
        <w:spacing w:afterLines="40" w:after="96" w:line="240" w:lineRule="auto"/>
        <w:ind w:left="0"/>
      </w:pPr>
    </w:p>
    <w:tbl>
      <w:tblPr>
        <w:tblStyle w:val="TableGrid"/>
        <w:tblW w:w="0" w:type="auto"/>
        <w:tblLook w:val="04A0" w:firstRow="1" w:lastRow="0" w:firstColumn="1" w:lastColumn="0" w:noHBand="0" w:noVBand="1"/>
      </w:tblPr>
      <w:tblGrid>
        <w:gridCol w:w="3213"/>
        <w:gridCol w:w="2789"/>
        <w:gridCol w:w="3348"/>
      </w:tblGrid>
      <w:tr w:rsidR="009049A6" w14:paraId="5242B364" w14:textId="77777777" w:rsidTr="009049A6">
        <w:tc>
          <w:tcPr>
            <w:tcW w:w="3213" w:type="dxa"/>
          </w:tcPr>
          <w:p w14:paraId="1302A414" w14:textId="64BE7D86" w:rsidR="009049A6" w:rsidRPr="00966DA9" w:rsidRDefault="009049A6" w:rsidP="008A7287">
            <w:pPr>
              <w:spacing w:afterLines="40" w:after="96"/>
              <w:rPr>
                <w:b/>
                <w:bCs/>
              </w:rPr>
            </w:pPr>
            <w:r>
              <w:rPr>
                <w:b/>
                <w:bCs/>
              </w:rPr>
              <w:t>Regime type</w:t>
            </w:r>
          </w:p>
        </w:tc>
        <w:tc>
          <w:tcPr>
            <w:tcW w:w="2789" w:type="dxa"/>
          </w:tcPr>
          <w:p w14:paraId="675D567A" w14:textId="1FDD7605" w:rsidR="009049A6" w:rsidRPr="00B47784" w:rsidRDefault="009049A6" w:rsidP="009049A6">
            <w:pPr>
              <w:spacing w:afterLines="40" w:after="96"/>
              <w:rPr>
                <w:b/>
                <w:bCs/>
                <w:u w:val="single"/>
              </w:rPr>
            </w:pPr>
            <w:r w:rsidRPr="00B47784">
              <w:rPr>
                <w:b/>
                <w:bCs/>
                <w:u w:val="single"/>
              </w:rPr>
              <w:t>Example</w:t>
            </w:r>
          </w:p>
        </w:tc>
        <w:tc>
          <w:tcPr>
            <w:tcW w:w="3348" w:type="dxa"/>
          </w:tcPr>
          <w:p w14:paraId="02CB748B" w14:textId="31AEA91F" w:rsidR="009049A6" w:rsidRPr="00B47784" w:rsidRDefault="009049A6" w:rsidP="008A7287">
            <w:pPr>
              <w:spacing w:afterLines="40" w:after="96"/>
              <w:rPr>
                <w:b/>
                <w:bCs/>
                <w:u w:val="single"/>
              </w:rPr>
            </w:pPr>
            <w:r w:rsidRPr="00B47784">
              <w:rPr>
                <w:b/>
                <w:bCs/>
                <w:u w:val="single"/>
              </w:rPr>
              <w:t>Provinces</w:t>
            </w:r>
          </w:p>
        </w:tc>
      </w:tr>
      <w:tr w:rsidR="009049A6" w14:paraId="7F3069CC" w14:textId="77777777" w:rsidTr="00B47784">
        <w:tc>
          <w:tcPr>
            <w:tcW w:w="3213" w:type="dxa"/>
          </w:tcPr>
          <w:p w14:paraId="6B519E2B" w14:textId="77777777" w:rsidR="009049A6" w:rsidRPr="00966DA9" w:rsidRDefault="009049A6" w:rsidP="008A7287">
            <w:pPr>
              <w:spacing w:afterLines="40" w:after="96"/>
              <w:rPr>
                <w:b/>
                <w:bCs/>
              </w:rPr>
            </w:pPr>
            <w:r w:rsidRPr="00966DA9">
              <w:rPr>
                <w:b/>
                <w:bCs/>
              </w:rPr>
              <w:t>Profit (net revenue or rent)</w:t>
            </w:r>
          </w:p>
        </w:tc>
        <w:tc>
          <w:tcPr>
            <w:tcW w:w="2789" w:type="dxa"/>
          </w:tcPr>
          <w:p w14:paraId="5F651DD4" w14:textId="30AF64CD" w:rsidR="00B47784" w:rsidRPr="002449F7" w:rsidRDefault="009049A6" w:rsidP="009049A6">
            <w:pPr>
              <w:spacing w:afterLines="40" w:after="96"/>
            </w:pPr>
            <w:r w:rsidRPr="002449F7">
              <w:t>Quebec min</w:t>
            </w:r>
            <w:r w:rsidR="00B47784" w:rsidRPr="002449F7">
              <w:t xml:space="preserve">ing tax regime: </w:t>
            </w:r>
          </w:p>
          <w:p w14:paraId="658D6801" w14:textId="7AFC013E" w:rsidR="009049A6" w:rsidRPr="002449F7" w:rsidRDefault="009049A6" w:rsidP="009049A6">
            <w:pPr>
              <w:spacing w:afterLines="40" w:after="96"/>
            </w:pPr>
            <w:r w:rsidRPr="002449F7">
              <w:t>The hybrid royalty scheme will feature a minimum mining tax based on the mine-mouth output value of the extracted minerals (gross value minus expenses) and a progressive mining tax calculated on a mine’s profits. Mining companies will pay either the minimum mining tax or the progressive tax on mining profits, whichever is greater.</w:t>
            </w:r>
          </w:p>
          <w:p w14:paraId="6B977BCA" w14:textId="6D4DB719" w:rsidR="009049A6" w:rsidRPr="002449F7" w:rsidRDefault="005715FD" w:rsidP="009049A6">
            <w:pPr>
              <w:spacing w:afterLines="40" w:after="96"/>
            </w:pPr>
            <w:r>
              <w:t>T</w:t>
            </w:r>
            <w:r w:rsidR="009049A6" w:rsidRPr="002449F7">
              <w:t>he minimum mining tax: all mining companies extracting minerals in Québec will have to pay a royalty for each mine at a fixed rate of 1% of the total output value at the mine shaft head below or equal to $80 million, calculated on an annual basis, but increasing to 4% for each dollar in excess of the $80 million threshold.</w:t>
            </w:r>
          </w:p>
        </w:tc>
        <w:tc>
          <w:tcPr>
            <w:tcW w:w="3348" w:type="dxa"/>
          </w:tcPr>
          <w:p w14:paraId="352DCA43" w14:textId="7F4094C0" w:rsidR="009049A6" w:rsidRDefault="009049A6" w:rsidP="008A7287">
            <w:pPr>
              <w:spacing w:afterLines="40" w:after="96"/>
            </w:pPr>
            <w:r w:rsidRPr="00EA7C78">
              <w:rPr>
                <w:u w:val="single"/>
              </w:rPr>
              <w:t>Oil and Gas:</w:t>
            </w:r>
            <w:r>
              <w:t xml:space="preserve"> Alberta, Newfoundland and Labrador, Nova Scotia</w:t>
            </w:r>
          </w:p>
          <w:p w14:paraId="38B542E2" w14:textId="1C64617E" w:rsidR="009049A6" w:rsidRDefault="009049A6" w:rsidP="008A7287">
            <w:pPr>
              <w:spacing w:afterLines="40" w:after="96"/>
            </w:pPr>
            <w:r w:rsidRPr="00EA7C78">
              <w:rPr>
                <w:u w:val="single"/>
              </w:rPr>
              <w:t>Minerals:</w:t>
            </w:r>
            <w:r>
              <w:t xml:space="preserve"> Ontario, British Columbia, Manitoba, Quebec, Newfoundland and Labrador, New Brunswick, Nova Scotia, Alberta, </w:t>
            </w:r>
            <w:r w:rsidR="004C199B">
              <w:t>Saskatchewan,</w:t>
            </w:r>
            <w:r>
              <w:t xml:space="preserve"> </w:t>
            </w:r>
            <w:r w:rsidR="002449F7">
              <w:t xml:space="preserve">Northwest </w:t>
            </w:r>
            <w:r>
              <w:t>Territories and Nunavut</w:t>
            </w:r>
          </w:p>
          <w:p w14:paraId="1CD3AA13" w14:textId="77777777" w:rsidR="009049A6" w:rsidRDefault="009049A6" w:rsidP="008A7287">
            <w:pPr>
              <w:spacing w:afterLines="40" w:after="96"/>
            </w:pPr>
          </w:p>
        </w:tc>
      </w:tr>
      <w:tr w:rsidR="009049A6" w14:paraId="74E41BCF" w14:textId="77777777" w:rsidTr="00B47784">
        <w:tc>
          <w:tcPr>
            <w:tcW w:w="3213" w:type="dxa"/>
          </w:tcPr>
          <w:p w14:paraId="7F57C193" w14:textId="77777777" w:rsidR="009049A6" w:rsidRPr="00966DA9" w:rsidRDefault="009049A6" w:rsidP="008A7287">
            <w:pPr>
              <w:spacing w:afterLines="40" w:after="96"/>
              <w:rPr>
                <w:b/>
                <w:bCs/>
              </w:rPr>
            </w:pPr>
            <w:r w:rsidRPr="00966DA9">
              <w:rPr>
                <w:b/>
                <w:bCs/>
              </w:rPr>
              <w:t>Price</w:t>
            </w:r>
          </w:p>
        </w:tc>
        <w:tc>
          <w:tcPr>
            <w:tcW w:w="2789" w:type="dxa"/>
          </w:tcPr>
          <w:p w14:paraId="32D9CC09" w14:textId="7A7F9CAC" w:rsidR="009049A6" w:rsidRPr="002449F7" w:rsidRDefault="00B47784" w:rsidP="008A7287">
            <w:pPr>
              <w:spacing w:afterLines="40" w:after="96"/>
            </w:pPr>
            <w:r w:rsidRPr="002449F7">
              <w:t xml:space="preserve">British </w:t>
            </w:r>
            <w:r w:rsidR="002449F7" w:rsidRPr="002449F7">
              <w:t>Columbia,</w:t>
            </w:r>
            <w:r w:rsidRPr="002449F7">
              <w:t xml:space="preserve"> Petroleum and Natural Gas royalty regime</w:t>
            </w:r>
            <w:r w:rsidR="002449F7">
              <w:t>:</w:t>
            </w:r>
          </w:p>
          <w:p w14:paraId="212EA4D8" w14:textId="3A6A1E9A" w:rsidR="00B47784" w:rsidRPr="002449F7" w:rsidRDefault="00B47784" w:rsidP="00B47784">
            <w:pPr>
              <w:spacing w:afterLines="40" w:after="96"/>
            </w:pPr>
            <w:r w:rsidRPr="002449F7">
              <w:t>Based on revenue-minus-cost system, with price sensitive royalty rates designed to reflect the value of the resource and achieve a return of 50% of profits after production costs are accounted for</w:t>
            </w:r>
          </w:p>
          <w:p w14:paraId="77BE93EE" w14:textId="6DC9B403" w:rsidR="00B47784" w:rsidRPr="002449F7" w:rsidRDefault="00B47784" w:rsidP="00B47784">
            <w:pPr>
              <w:spacing w:afterLines="40" w:after="96"/>
            </w:pPr>
            <w:r w:rsidRPr="002449F7">
              <w:t xml:space="preserve">New wells will pay a flat rate of 5%, until capital spent on drilling and completion is </w:t>
            </w:r>
            <w:r w:rsidRPr="002449F7">
              <w:lastRenderedPageBreak/>
              <w:t>recovered, then the price sensitivity kicks on, ranging from 5-40%</w:t>
            </w:r>
          </w:p>
        </w:tc>
        <w:tc>
          <w:tcPr>
            <w:tcW w:w="3348" w:type="dxa"/>
          </w:tcPr>
          <w:p w14:paraId="64AA1804" w14:textId="2D74DFE8" w:rsidR="009049A6" w:rsidRDefault="009049A6" w:rsidP="008A7287">
            <w:pPr>
              <w:spacing w:afterLines="40" w:after="96"/>
            </w:pPr>
            <w:r w:rsidRPr="00EA7C78">
              <w:rPr>
                <w:u w:val="single"/>
              </w:rPr>
              <w:lastRenderedPageBreak/>
              <w:t>Oil and Gas</w:t>
            </w:r>
            <w:r>
              <w:t>: Saskatchewan, British Columbia</w:t>
            </w:r>
          </w:p>
          <w:p w14:paraId="6C6835C8" w14:textId="74D35952" w:rsidR="009049A6" w:rsidRDefault="009049A6" w:rsidP="008A7287">
            <w:pPr>
              <w:spacing w:afterLines="40" w:after="96"/>
            </w:pPr>
          </w:p>
        </w:tc>
      </w:tr>
      <w:tr w:rsidR="009049A6" w14:paraId="3E5F9E82" w14:textId="77777777" w:rsidTr="00B47784">
        <w:tc>
          <w:tcPr>
            <w:tcW w:w="3213" w:type="dxa"/>
          </w:tcPr>
          <w:p w14:paraId="6E0BD29A" w14:textId="77777777" w:rsidR="009049A6" w:rsidRPr="00966DA9" w:rsidRDefault="009049A6" w:rsidP="008A7287">
            <w:pPr>
              <w:spacing w:afterLines="40" w:after="96"/>
              <w:rPr>
                <w:b/>
                <w:bCs/>
              </w:rPr>
            </w:pPr>
            <w:r w:rsidRPr="00966DA9">
              <w:rPr>
                <w:b/>
                <w:bCs/>
              </w:rPr>
              <w:t xml:space="preserve">Production </w:t>
            </w:r>
          </w:p>
        </w:tc>
        <w:tc>
          <w:tcPr>
            <w:tcW w:w="2789" w:type="dxa"/>
          </w:tcPr>
          <w:p w14:paraId="7A890888" w14:textId="00F23633" w:rsidR="009049A6" w:rsidRPr="002449F7" w:rsidRDefault="009049A6" w:rsidP="009049A6">
            <w:pPr>
              <w:spacing w:afterLines="40" w:after="96"/>
            </w:pPr>
            <w:r w:rsidRPr="002449F7">
              <w:t>Manitoba oil &amp; gas</w:t>
            </w:r>
            <w:r w:rsidR="002449F7">
              <w:t xml:space="preserve"> royalty:</w:t>
            </w:r>
          </w:p>
          <w:p w14:paraId="3ECAE8EC" w14:textId="7A30014E" w:rsidR="009049A6" w:rsidRPr="002449F7" w:rsidRDefault="009049A6" w:rsidP="009049A6">
            <w:pPr>
              <w:spacing w:afterLines="40" w:after="96"/>
            </w:pPr>
            <w:r w:rsidRPr="002449F7">
              <w:t>Oil Crown Royalty is a function of monthly oil production from a spacing unit. For wells drilled between Dec 2013 and Jan 2019 the royalty is the lessor of:</w:t>
            </w:r>
          </w:p>
          <w:p w14:paraId="0956795C" w14:textId="535E374F" w:rsidR="009049A6" w:rsidRPr="002449F7" w:rsidRDefault="009049A6" w:rsidP="00093889">
            <w:pPr>
              <w:pStyle w:val="ListParagraph"/>
              <w:numPr>
                <w:ilvl w:val="0"/>
                <w:numId w:val="5"/>
              </w:numPr>
              <w:spacing w:afterLines="40" w:after="96"/>
            </w:pPr>
            <w:r w:rsidRPr="002449F7">
              <w:t>3% of the volume of oil produced each month or</w:t>
            </w:r>
          </w:p>
          <w:p w14:paraId="182D249C" w14:textId="2DCCF0C4" w:rsidR="009049A6" w:rsidRPr="002449F7" w:rsidRDefault="009049A6" w:rsidP="00093889">
            <w:pPr>
              <w:pStyle w:val="ListParagraph"/>
              <w:numPr>
                <w:ilvl w:val="0"/>
                <w:numId w:val="5"/>
              </w:numPr>
              <w:spacing w:afterLines="40" w:after="96"/>
            </w:pPr>
            <w:r w:rsidRPr="002449F7">
              <w:t>The royalty that is calculated using a formula, if the oil is not holiday oil</w:t>
            </w:r>
          </w:p>
        </w:tc>
        <w:tc>
          <w:tcPr>
            <w:tcW w:w="3348" w:type="dxa"/>
          </w:tcPr>
          <w:p w14:paraId="569B4844" w14:textId="5A0C9A98" w:rsidR="009049A6" w:rsidRDefault="009049A6" w:rsidP="008A7287">
            <w:pPr>
              <w:spacing w:afterLines="40" w:after="96"/>
            </w:pPr>
            <w:r w:rsidRPr="00EA7C78">
              <w:rPr>
                <w:u w:val="single"/>
              </w:rPr>
              <w:t>Oil and Gas</w:t>
            </w:r>
            <w:r>
              <w:t>: Quebec, Ontario, Manitoba</w:t>
            </w:r>
            <w:r w:rsidR="002449F7">
              <w:t>, New Brunswick</w:t>
            </w:r>
          </w:p>
          <w:p w14:paraId="1E304F51" w14:textId="6B1681D8" w:rsidR="009049A6" w:rsidRDefault="009049A6" w:rsidP="008A7287">
            <w:pPr>
              <w:spacing w:afterLines="40" w:after="96"/>
            </w:pPr>
            <w:r w:rsidRPr="00EA7C78">
              <w:rPr>
                <w:u w:val="single"/>
              </w:rPr>
              <w:t>Minerals</w:t>
            </w:r>
            <w:r>
              <w:t xml:space="preserve">: Yukon, Alberta </w:t>
            </w:r>
          </w:p>
        </w:tc>
      </w:tr>
      <w:tr w:rsidR="009049A6" w14:paraId="73F72FC2" w14:textId="77777777" w:rsidTr="00B47784">
        <w:tc>
          <w:tcPr>
            <w:tcW w:w="3213" w:type="dxa"/>
          </w:tcPr>
          <w:p w14:paraId="7550B106" w14:textId="77777777" w:rsidR="009049A6" w:rsidRPr="00966DA9" w:rsidRDefault="009049A6" w:rsidP="008A7287">
            <w:pPr>
              <w:spacing w:afterLines="40" w:after="96"/>
              <w:rPr>
                <w:b/>
                <w:bCs/>
              </w:rPr>
            </w:pPr>
            <w:r w:rsidRPr="00966DA9">
              <w:rPr>
                <w:b/>
                <w:bCs/>
              </w:rPr>
              <w:t>Hybrid (gross revenue)</w:t>
            </w:r>
          </w:p>
        </w:tc>
        <w:tc>
          <w:tcPr>
            <w:tcW w:w="2789" w:type="dxa"/>
          </w:tcPr>
          <w:p w14:paraId="0301A79A" w14:textId="065B2351" w:rsidR="00B47784" w:rsidRPr="002449F7" w:rsidRDefault="00B47784" w:rsidP="00B47784">
            <w:pPr>
              <w:spacing w:afterLines="40" w:after="96"/>
            </w:pPr>
            <w:r w:rsidRPr="002449F7">
              <w:t>Alberta Oil Sands royalty</w:t>
            </w:r>
            <w:r w:rsidR="002449F7">
              <w:t>:</w:t>
            </w:r>
          </w:p>
          <w:p w14:paraId="7F2214D7" w14:textId="75FCB69D" w:rsidR="00B47784" w:rsidRPr="002449F7" w:rsidRDefault="00B47784" w:rsidP="00B47784">
            <w:pPr>
              <w:spacing w:afterLines="40" w:after="96"/>
            </w:pPr>
            <w:r w:rsidRPr="002449F7">
              <w:t xml:space="preserve">Flat royalty rate of 1-9% of gross revenue will apply pre-payout. Post-payout, the royalty rate is the greater </w:t>
            </w:r>
            <w:r w:rsidR="004C199B" w:rsidRPr="002449F7">
              <w:t>of</w:t>
            </w:r>
            <w:r w:rsidRPr="002449F7">
              <w:t xml:space="preserve"> 25-40% net revenue and pre-payout rate</w:t>
            </w:r>
          </w:p>
        </w:tc>
        <w:tc>
          <w:tcPr>
            <w:tcW w:w="3348" w:type="dxa"/>
          </w:tcPr>
          <w:p w14:paraId="33A41E2E" w14:textId="0702D431" w:rsidR="009049A6" w:rsidRDefault="009049A6" w:rsidP="008A7287">
            <w:pPr>
              <w:spacing w:afterLines="40" w:after="96"/>
            </w:pPr>
            <w:r w:rsidRPr="00EA7C78">
              <w:rPr>
                <w:u w:val="single"/>
              </w:rPr>
              <w:t>Oil and Gas</w:t>
            </w:r>
            <w:r>
              <w:t xml:space="preserve">: </w:t>
            </w:r>
            <w:r w:rsidR="00B47784">
              <w:t xml:space="preserve">Alberta, </w:t>
            </w:r>
            <w:r w:rsidR="002449F7">
              <w:t xml:space="preserve">Frontier lands (including Northwest </w:t>
            </w:r>
            <w:r>
              <w:t>Territories, Nunavut and the northern offshore</w:t>
            </w:r>
            <w:r w:rsidR="002449F7">
              <w:t>)</w:t>
            </w:r>
            <w:r>
              <w:t>, Yukon</w:t>
            </w:r>
          </w:p>
          <w:p w14:paraId="3A268CE0" w14:textId="39248602" w:rsidR="009049A6" w:rsidRDefault="009049A6" w:rsidP="008A7287">
            <w:pPr>
              <w:spacing w:afterLines="40" w:after="96"/>
            </w:pPr>
            <w:r w:rsidRPr="00EA7C78">
              <w:rPr>
                <w:u w:val="single"/>
              </w:rPr>
              <w:t>Minerals:</w:t>
            </w:r>
            <w:r>
              <w:t xml:space="preserve"> Quebec, Saskatchewan </w:t>
            </w:r>
          </w:p>
        </w:tc>
      </w:tr>
    </w:tbl>
    <w:p w14:paraId="6998803C" w14:textId="587E5D7D" w:rsidR="00665141" w:rsidRDefault="009049A6" w:rsidP="008C413F">
      <w:pPr>
        <w:pStyle w:val="ListParagraph"/>
        <w:spacing w:afterLines="40" w:after="96" w:line="240" w:lineRule="auto"/>
        <w:ind w:left="0"/>
      </w:pPr>
      <w:r>
        <w:t xml:space="preserve">Note: The naming conventions are broad categories based </w:t>
      </w:r>
      <w:r w:rsidR="00B47784">
        <w:t>from</w:t>
      </w:r>
      <w:r>
        <w:t xml:space="preserve"> the provincial regime documentations. </w:t>
      </w:r>
    </w:p>
    <w:p w14:paraId="495FA600" w14:textId="77777777" w:rsidR="00665141" w:rsidRDefault="00665141" w:rsidP="008C413F">
      <w:pPr>
        <w:pStyle w:val="ListParagraph"/>
        <w:spacing w:afterLines="40" w:after="96" w:line="240" w:lineRule="auto"/>
        <w:ind w:left="0"/>
      </w:pPr>
    </w:p>
    <w:p w14:paraId="4326EE12" w14:textId="77777777" w:rsidR="00665141" w:rsidRDefault="00665141" w:rsidP="008C413F">
      <w:pPr>
        <w:pStyle w:val="ListParagraph"/>
        <w:spacing w:afterLines="40" w:after="96" w:line="240" w:lineRule="auto"/>
        <w:ind w:left="0"/>
      </w:pPr>
    </w:p>
    <w:p w14:paraId="48F50DF7" w14:textId="77777777" w:rsidR="00665141" w:rsidRDefault="00665141" w:rsidP="008C413F">
      <w:pPr>
        <w:pStyle w:val="ListParagraph"/>
        <w:spacing w:afterLines="40" w:after="96" w:line="240" w:lineRule="auto"/>
        <w:ind w:left="0"/>
      </w:pPr>
    </w:p>
    <w:p w14:paraId="56071BFD" w14:textId="77777777" w:rsidR="00665141" w:rsidRDefault="00665141" w:rsidP="008C413F">
      <w:pPr>
        <w:pStyle w:val="ListParagraph"/>
        <w:spacing w:afterLines="40" w:after="96" w:line="240" w:lineRule="auto"/>
        <w:ind w:left="0"/>
      </w:pPr>
    </w:p>
    <w:p w14:paraId="436D8E23" w14:textId="77777777" w:rsidR="008C413F" w:rsidRPr="008C413F" w:rsidRDefault="008C413F" w:rsidP="008C413F"/>
    <w:p w14:paraId="0E2FA4E4" w14:textId="5132D0C0" w:rsidR="00DB11AF" w:rsidRDefault="00DB11AF" w:rsidP="00DB11AF">
      <w:pPr>
        <w:rPr>
          <w:b/>
          <w:bCs/>
        </w:rPr>
      </w:pPr>
    </w:p>
    <w:p w14:paraId="29701E98" w14:textId="68E0E477" w:rsidR="00B27A19" w:rsidRPr="00B27A19" w:rsidRDefault="00B27A19" w:rsidP="00B27A19"/>
    <w:sectPr w:rsidR="00B27A19" w:rsidRPr="00B27A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874BC" w14:textId="77777777" w:rsidR="0023118E" w:rsidRDefault="0023118E" w:rsidP="006A789A">
      <w:pPr>
        <w:spacing w:after="0" w:line="240" w:lineRule="auto"/>
      </w:pPr>
      <w:r>
        <w:separator/>
      </w:r>
    </w:p>
  </w:endnote>
  <w:endnote w:type="continuationSeparator" w:id="0">
    <w:p w14:paraId="01367591" w14:textId="77777777" w:rsidR="0023118E" w:rsidRDefault="0023118E" w:rsidP="006A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F82F7" w14:textId="77777777" w:rsidR="0023118E" w:rsidRDefault="0023118E" w:rsidP="006A789A">
      <w:pPr>
        <w:spacing w:after="0" w:line="240" w:lineRule="auto"/>
      </w:pPr>
      <w:r>
        <w:separator/>
      </w:r>
    </w:p>
  </w:footnote>
  <w:footnote w:type="continuationSeparator" w:id="0">
    <w:p w14:paraId="413FBFF2" w14:textId="77777777" w:rsidR="0023118E" w:rsidRDefault="0023118E" w:rsidP="006A789A">
      <w:pPr>
        <w:spacing w:after="0" w:line="240" w:lineRule="auto"/>
      </w:pPr>
      <w:r>
        <w:continuationSeparator/>
      </w:r>
    </w:p>
  </w:footnote>
  <w:footnote w:id="1">
    <w:p w14:paraId="37614B78" w14:textId="77777777" w:rsidR="00DC657D" w:rsidRDefault="00DC657D" w:rsidP="00DC657D">
      <w:pPr>
        <w:pStyle w:val="FootnoteText"/>
      </w:pPr>
      <w:r>
        <w:rPr>
          <w:rStyle w:val="FootnoteReference"/>
        </w:rPr>
        <w:footnoteRef/>
      </w:r>
      <w:r>
        <w:t xml:space="preserve"> </w:t>
      </w:r>
      <w:r w:rsidRPr="005C3A96">
        <w:rPr>
          <w:sz w:val="18"/>
          <w:szCs w:val="18"/>
        </w:rPr>
        <w:t xml:space="preserve">For general information refer to </w:t>
      </w:r>
      <w:hyperlink r:id="rId1" w:history="1">
        <w:r w:rsidRPr="005C3A96">
          <w:rPr>
            <w:rStyle w:val="Hyperlink"/>
            <w:sz w:val="18"/>
            <w:szCs w:val="18"/>
          </w:rPr>
          <w:t>System of National Accounts</w:t>
        </w:r>
      </w:hyperlink>
      <w:r w:rsidRPr="005C3A96">
        <w:rPr>
          <w:sz w:val="18"/>
          <w:szCs w:val="18"/>
        </w:rPr>
        <w:t xml:space="preserve">; for the latest framework refer to </w:t>
      </w:r>
      <w:hyperlink r:id="rId2" w:history="1">
        <w:r w:rsidRPr="005C3A96">
          <w:rPr>
            <w:rStyle w:val="Hyperlink"/>
            <w:sz w:val="18"/>
            <w:szCs w:val="18"/>
          </w:rPr>
          <w:t>2025_SNA_Combined.pdf</w:t>
        </w:r>
      </w:hyperlink>
      <w:r w:rsidRPr="005C3A96">
        <w:rPr>
          <w:sz w:val="18"/>
          <w:szCs w:val="18"/>
        </w:rPr>
        <w:t xml:space="preserve">; for compilation of the guidance note refer to </w:t>
      </w:r>
      <w:hyperlink r:id="rId3" w:history="1">
        <w:r w:rsidRPr="005C3A96">
          <w:rPr>
            <w:rStyle w:val="Hyperlink"/>
            <w:sz w:val="18"/>
            <w:szCs w:val="18"/>
          </w:rPr>
          <w:t>Measuring Natural Resources in the National Accounts | OECD</w:t>
        </w:r>
      </w:hyperlink>
    </w:p>
  </w:footnote>
  <w:footnote w:id="2">
    <w:p w14:paraId="4E6CE90C" w14:textId="77777777" w:rsidR="00416E79" w:rsidRPr="007106B2" w:rsidRDefault="00416E79" w:rsidP="00416E79">
      <w:pPr>
        <w:pStyle w:val="FootnoteText"/>
        <w:rPr>
          <w:sz w:val="18"/>
          <w:szCs w:val="18"/>
        </w:rPr>
      </w:pPr>
      <w:r w:rsidRPr="004341BE">
        <w:rPr>
          <w:rStyle w:val="FootnoteReference"/>
          <w:sz w:val="18"/>
          <w:szCs w:val="18"/>
        </w:rPr>
        <w:footnoteRef/>
      </w:r>
      <w:r w:rsidRPr="007953EE">
        <w:rPr>
          <w:sz w:val="18"/>
          <w:szCs w:val="18"/>
        </w:rPr>
        <w:t xml:space="preserve"> </w:t>
      </w:r>
      <w:r w:rsidRPr="007106B2">
        <w:rPr>
          <w:sz w:val="18"/>
          <w:szCs w:val="18"/>
        </w:rPr>
        <w:t>Most provinces allow tax exemptions for new mines. For example, Ontario Mining Tax Act applies an exempt period for each new mine, 3 years for non-remote mines and 10 years for remote mines, up to 10 million of profit. New Brunswick allows 2% royalties to be exempted in the first 2 years of a producing mine.</w:t>
      </w:r>
    </w:p>
  </w:footnote>
  <w:footnote w:id="3">
    <w:p w14:paraId="14E5767A" w14:textId="122EA226" w:rsidR="00D26A8B" w:rsidRDefault="00D26A8B">
      <w:pPr>
        <w:pStyle w:val="FootnoteText"/>
      </w:pPr>
      <w:r>
        <w:rPr>
          <w:rStyle w:val="FootnoteReference"/>
        </w:rPr>
        <w:footnoteRef/>
      </w:r>
      <w:r>
        <w:t xml:space="preserve"> </w:t>
      </w:r>
      <w:r w:rsidR="001D1BFD" w:rsidRPr="00BA3061">
        <w:rPr>
          <w:sz w:val="18"/>
          <w:szCs w:val="18"/>
        </w:rPr>
        <w:t xml:space="preserve">Subsoil refers to energy and mineral resources. </w:t>
      </w:r>
      <w:r w:rsidRPr="008C52DE">
        <w:rPr>
          <w:sz w:val="18"/>
          <w:szCs w:val="18"/>
        </w:rPr>
        <w:t>Energy resources include natural gas, crude oil, crude bitumen and coal. Mineral resources include gold, nickel, copper, zinc, iron, molybdenum, uranium, potash and diamonds</w:t>
      </w:r>
      <w:r w:rsidR="001D1BFD">
        <w:rPr>
          <w:sz w:val="18"/>
          <w:szCs w:val="18"/>
        </w:rPr>
        <w:t>.</w:t>
      </w:r>
    </w:p>
  </w:footnote>
  <w:footnote w:id="4">
    <w:p w14:paraId="7E193915" w14:textId="6CF384BC" w:rsidR="002627D2" w:rsidRPr="007614FF" w:rsidRDefault="002627D2">
      <w:pPr>
        <w:pStyle w:val="FootnoteText"/>
        <w:rPr>
          <w:sz w:val="18"/>
          <w:szCs w:val="18"/>
        </w:rPr>
      </w:pPr>
      <w:r w:rsidRPr="007614FF">
        <w:rPr>
          <w:rStyle w:val="FootnoteReference"/>
          <w:sz w:val="18"/>
          <w:szCs w:val="18"/>
        </w:rPr>
        <w:footnoteRef/>
      </w:r>
      <w:r w:rsidRPr="007614FF">
        <w:rPr>
          <w:sz w:val="18"/>
          <w:szCs w:val="18"/>
        </w:rPr>
        <w:t xml:space="preserve"> </w:t>
      </w:r>
      <w:hyperlink r:id="rId4" w:history="1">
        <w:r w:rsidRPr="007614FF">
          <w:rPr>
            <w:rStyle w:val="Hyperlink"/>
            <w:sz w:val="18"/>
            <w:szCs w:val="18"/>
          </w:rPr>
          <w:t>Surveys and statistical programs - Government Finance Statistics (GFS)</w:t>
        </w:r>
      </w:hyperlink>
    </w:p>
  </w:footnote>
  <w:footnote w:id="5">
    <w:p w14:paraId="4D25C5AA" w14:textId="77777777" w:rsidR="0090735E" w:rsidRDefault="0090735E" w:rsidP="0090735E">
      <w:pPr>
        <w:pStyle w:val="FootnoteText"/>
      </w:pPr>
      <w:r>
        <w:rPr>
          <w:rStyle w:val="FootnoteReference"/>
        </w:rPr>
        <w:footnoteRef/>
      </w:r>
      <w:r>
        <w:t xml:space="preserve"> </w:t>
      </w:r>
      <w:r w:rsidRPr="006A0050">
        <w:rPr>
          <w:sz w:val="18"/>
          <w:szCs w:val="18"/>
        </w:rPr>
        <w:t xml:space="preserve">Freehold mineral rights refer to the ownership of the minerals below the surface that may be held by individuals, families, or businesses. For more see, </w:t>
      </w:r>
      <w:hyperlink r:id="rId5" w:history="1">
        <w:r w:rsidRPr="006A0050">
          <w:rPr>
            <w:rStyle w:val="Hyperlink"/>
            <w:sz w:val="18"/>
            <w:szCs w:val="18"/>
          </w:rPr>
          <w:t>Sale of Freehold Mineral Titles - Canada.ca</w:t>
        </w:r>
      </w:hyperlink>
      <w:r w:rsidRPr="006A0050">
        <w:rPr>
          <w:sz w:val="18"/>
          <w:szCs w:val="18"/>
        </w:rPr>
        <w:t xml:space="preserve"> and </w:t>
      </w:r>
      <w:hyperlink r:id="rId6" w:history="1">
        <w:r w:rsidRPr="006A0050">
          <w:rPr>
            <w:rStyle w:val="Hyperlink"/>
            <w:sz w:val="18"/>
            <w:szCs w:val="18"/>
          </w:rPr>
          <w:t>Mineral Rights | CAPP</w:t>
        </w:r>
      </w:hyperlink>
    </w:p>
  </w:footnote>
  <w:footnote w:id="6">
    <w:p w14:paraId="1DE1D828" w14:textId="734EF10C" w:rsidR="00DE4566" w:rsidRPr="007614FF" w:rsidRDefault="00DE4566">
      <w:pPr>
        <w:pStyle w:val="FootnoteText"/>
        <w:rPr>
          <w:sz w:val="18"/>
          <w:szCs w:val="18"/>
        </w:rPr>
      </w:pPr>
      <w:r w:rsidRPr="007614FF">
        <w:rPr>
          <w:rStyle w:val="FootnoteReference"/>
          <w:sz w:val="18"/>
          <w:szCs w:val="18"/>
        </w:rPr>
        <w:footnoteRef/>
      </w:r>
      <w:r w:rsidRPr="007614FF">
        <w:rPr>
          <w:sz w:val="18"/>
          <w:szCs w:val="18"/>
        </w:rPr>
        <w:t xml:space="preserve"> Natural Resources Canada launched ESTMA in collaboration with Statistics Canada, see </w:t>
      </w:r>
      <w:hyperlink r:id="rId7" w:history="1">
        <w:r w:rsidRPr="007614FF">
          <w:rPr>
            <w:rStyle w:val="Hyperlink"/>
            <w:sz w:val="18"/>
            <w:szCs w:val="18"/>
          </w:rPr>
          <w:t>Extractive Sector Transparency Measures Act Data Portal</w:t>
        </w:r>
      </w:hyperlink>
      <w:r w:rsidRPr="007614FF">
        <w:rPr>
          <w:sz w:val="18"/>
          <w:szCs w:val="18"/>
        </w:rPr>
        <w:t>.</w:t>
      </w:r>
    </w:p>
  </w:footnote>
  <w:footnote w:id="7">
    <w:p w14:paraId="5F2C3AC5" w14:textId="77777777" w:rsidR="00237612" w:rsidRDefault="00237612" w:rsidP="00237612">
      <w:pPr>
        <w:pStyle w:val="FootnoteText"/>
      </w:pPr>
      <w:r w:rsidRPr="007614FF">
        <w:rPr>
          <w:rStyle w:val="FootnoteReference"/>
          <w:sz w:val="18"/>
          <w:szCs w:val="18"/>
        </w:rPr>
        <w:footnoteRef/>
      </w:r>
      <w:r w:rsidRPr="007614FF">
        <w:rPr>
          <w:sz w:val="18"/>
          <w:szCs w:val="18"/>
        </w:rPr>
        <w:t xml:space="preserve"> </w:t>
      </w:r>
      <w:hyperlink r:id="rId8" w:history="1">
        <w:r>
          <w:rPr>
            <w:rStyle w:val="Hyperlink"/>
            <w:sz w:val="18"/>
            <w:szCs w:val="18"/>
          </w:rPr>
          <w:t>Natural Resources excluding Land- National Balance Sheet Accounts</w:t>
        </w:r>
      </w:hyperlink>
    </w:p>
  </w:footnote>
  <w:footnote w:id="8">
    <w:p w14:paraId="7C290FA1" w14:textId="7F8FDE62" w:rsidR="00060499" w:rsidRDefault="00060499" w:rsidP="00060499">
      <w:pPr>
        <w:pStyle w:val="FootnoteText"/>
      </w:pPr>
      <w:r>
        <w:rPr>
          <w:rStyle w:val="FootnoteReference"/>
        </w:rPr>
        <w:footnoteRef/>
      </w:r>
      <w:r>
        <w:t xml:space="preserve"> Statistics Canada. </w:t>
      </w:r>
      <w:hyperlink r:id="rId9" w:history="1">
        <w:r w:rsidRPr="00F13527">
          <w:rPr>
            <w:rStyle w:val="Hyperlink"/>
          </w:rPr>
          <w:t>Table 10-10-0017-01 Canadian government finance statistics for the provincial and territorial governments</w:t>
        </w:r>
      </w:hyperlink>
      <w:r w:rsidRPr="00F13527">
        <w:t xml:space="preserve">;  </w:t>
      </w:r>
      <w:hyperlink r:id="rId10" w:history="1">
        <w:r w:rsidRPr="00F13527">
          <w:rPr>
            <w:rStyle w:val="Hyperlink"/>
          </w:rPr>
          <w:t>Table 10-10-0016-01 Canadian government finance statistics for the federal government</w:t>
        </w:r>
      </w:hyperlink>
      <w:r w:rsidRPr="00F13527">
        <w:t>.</w:t>
      </w:r>
    </w:p>
  </w:footnote>
  <w:footnote w:id="9">
    <w:p w14:paraId="306ED74B" w14:textId="018B6E59" w:rsidR="00A764E3" w:rsidRDefault="00A764E3">
      <w:pPr>
        <w:pStyle w:val="FootnoteText"/>
      </w:pPr>
      <w:r>
        <w:rPr>
          <w:rStyle w:val="FootnoteReference"/>
        </w:rPr>
        <w:footnoteRef/>
      </w:r>
      <w:r>
        <w:t xml:space="preserve"> </w:t>
      </w:r>
      <w:hyperlink r:id="rId11" w:history="1">
        <w:r w:rsidRPr="000739BA">
          <w:rPr>
            <w:rStyle w:val="Hyperlink"/>
            <w:color w:val="auto"/>
            <w:u w:val="none"/>
          </w:rPr>
          <w:t>Statistics Canada</w:t>
        </w:r>
        <w:r w:rsidRPr="00D309C8">
          <w:rPr>
            <w:rStyle w:val="Hyperlink"/>
            <w:b/>
            <w:bCs/>
            <w:sz w:val="18"/>
            <w:szCs w:val="18"/>
          </w:rPr>
          <w:t>.</w:t>
        </w:r>
        <w:r w:rsidRPr="00E7524E">
          <w:rPr>
            <w:rStyle w:val="Hyperlink"/>
            <w:sz w:val="18"/>
            <w:szCs w:val="18"/>
          </w:rPr>
          <w:t xml:space="preserve"> Table 38-10-0006-01 Value of selected natural resource reserves (x 1,000,000)</w:t>
        </w:r>
      </w:hyperlink>
    </w:p>
  </w:footnote>
  <w:footnote w:id="10">
    <w:p w14:paraId="480C1545" w14:textId="612EF30F" w:rsidR="00D62A68" w:rsidRDefault="00D62A68">
      <w:pPr>
        <w:pStyle w:val="FootnoteText"/>
      </w:pPr>
      <w:r>
        <w:rPr>
          <w:rStyle w:val="FootnoteReference"/>
        </w:rPr>
        <w:footnoteRef/>
      </w:r>
      <w:r>
        <w:t xml:space="preserve"> </w:t>
      </w:r>
      <w:r w:rsidRPr="00A2696D">
        <w:rPr>
          <w:sz w:val="18"/>
          <w:szCs w:val="18"/>
        </w:rPr>
        <w:t>Net Price 1 represents the expected stream of income from the resource. The valuation can be calculated as the net price (rent) per unit of resource times the size of the resource stock.</w:t>
      </w:r>
    </w:p>
  </w:footnote>
  <w:footnote w:id="11">
    <w:p w14:paraId="6ECF2E98" w14:textId="77777777" w:rsidR="006A789A" w:rsidRDefault="006A789A" w:rsidP="006A789A">
      <w:pPr>
        <w:pStyle w:val="FootnoteText"/>
      </w:pPr>
      <w:r>
        <w:rPr>
          <w:rStyle w:val="FootnoteReference"/>
        </w:rPr>
        <w:footnoteRef/>
      </w:r>
      <w:r>
        <w:t xml:space="preserve"> </w:t>
      </w:r>
      <w:r w:rsidRPr="008857FB">
        <w:rPr>
          <w:rFonts w:ascii="Times New Roman" w:hAnsi="Times New Roman" w:cs="Times New Roman"/>
          <w:sz w:val="18"/>
          <w:szCs w:val="18"/>
        </w:rPr>
        <w:t>Saskatchewan also has a Crown Minerals royalty regime, a Uranium royalty regime and a Petroleum and Natural Gas royalty regime.</w:t>
      </w:r>
      <w:r w:rsidRPr="00591B2C">
        <w:rPr>
          <w:rFonts w:cstheme="minorHAnsi"/>
        </w:rPr>
        <w:t xml:space="preserve"> </w:t>
      </w:r>
    </w:p>
  </w:footnote>
  <w:footnote w:id="12">
    <w:p w14:paraId="6C7034F7" w14:textId="77777777" w:rsidR="003954EA" w:rsidRDefault="003954EA" w:rsidP="003954EA">
      <w:pPr>
        <w:pStyle w:val="FootnoteText"/>
      </w:pPr>
      <w:r>
        <w:rPr>
          <w:rStyle w:val="FootnoteReference"/>
        </w:rPr>
        <w:footnoteRef/>
      </w:r>
      <w:r>
        <w:t xml:space="preserve"> </w:t>
      </w:r>
      <w:hyperlink r:id="rId12" w:history="1">
        <w:r w:rsidRPr="00A2696D">
          <w:rPr>
            <w:rStyle w:val="Hyperlink"/>
            <w:sz w:val="18"/>
            <w:szCs w:val="18"/>
          </w:rPr>
          <w:t>Saskatchewan Royalty and Tax Structure</w:t>
        </w:r>
      </w:hyperlink>
    </w:p>
  </w:footnote>
  <w:footnote w:id="13">
    <w:p w14:paraId="422D1CCC" w14:textId="77777777" w:rsidR="0097313C" w:rsidRDefault="0097313C" w:rsidP="0097313C">
      <w:pPr>
        <w:pStyle w:val="FootnoteText"/>
      </w:pPr>
      <w:r>
        <w:rPr>
          <w:rStyle w:val="FootnoteReference"/>
        </w:rPr>
        <w:footnoteRef/>
      </w:r>
      <w:r>
        <w:t xml:space="preserve"> </w:t>
      </w:r>
      <w:hyperlink r:id="rId13" w:history="1">
        <w:r w:rsidRPr="00901F56">
          <w:rPr>
            <w:rStyle w:val="Hyperlink"/>
            <w:rFonts w:ascii="Times New Roman" w:hAnsi="Times New Roman" w:cs="Times New Roman"/>
            <w:color w:val="000000" w:themeColor="text1"/>
            <w:sz w:val="18"/>
            <w:szCs w:val="18"/>
          </w:rPr>
          <w:t>Nunavut Lands and Resources Devolution Agreement - ENG.pdf (gov.nu.ca)</w:t>
        </w:r>
      </w:hyperlink>
    </w:p>
  </w:footnote>
  <w:footnote w:id="14">
    <w:p w14:paraId="0F1B6419" w14:textId="07442ABB" w:rsidR="00303F0A" w:rsidRDefault="00303F0A">
      <w:pPr>
        <w:pStyle w:val="FootnoteText"/>
      </w:pPr>
      <w:r>
        <w:rPr>
          <w:rStyle w:val="FootnoteReference"/>
        </w:rPr>
        <w:footnoteRef/>
      </w:r>
      <w:r>
        <w:t xml:space="preserve"> </w:t>
      </w:r>
      <w:r w:rsidRPr="00303F0A">
        <w:rPr>
          <w:rFonts w:ascii="Times New Roman" w:hAnsi="Times New Roman" w:cs="Times New Roman"/>
          <w:sz w:val="18"/>
          <w:szCs w:val="18"/>
        </w:rPr>
        <w:t xml:space="preserve">Manitoba Mining Tax Act </w:t>
      </w:r>
      <w:hyperlink r:id="rId14" w:history="1">
        <w:r w:rsidRPr="00303F0A">
          <w:rPr>
            <w:rStyle w:val="Hyperlink"/>
            <w:rFonts w:ascii="Times New Roman" w:hAnsi="Times New Roman" w:cs="Times New Roman"/>
            <w:sz w:val="18"/>
            <w:szCs w:val="18"/>
          </w:rPr>
          <w:t>C.C.S.M. c. M195</w:t>
        </w:r>
      </w:hyperlink>
    </w:p>
  </w:footnote>
  <w:footnote w:id="15">
    <w:p w14:paraId="59786678" w14:textId="77777777" w:rsidR="00683871" w:rsidRDefault="00683871" w:rsidP="00683871">
      <w:pPr>
        <w:pStyle w:val="FootnoteText"/>
      </w:pPr>
      <w:r>
        <w:rPr>
          <w:rStyle w:val="FootnoteReference"/>
        </w:rPr>
        <w:footnoteRef/>
      </w:r>
      <w:r>
        <w:t xml:space="preserve"> </w:t>
      </w:r>
      <w:r w:rsidRPr="005D5180">
        <w:rPr>
          <w:sz w:val="18"/>
          <w:szCs w:val="18"/>
        </w:rPr>
        <w:t xml:space="preserve">Alberta Oil Sands Royalty guidelines 2018, </w:t>
      </w:r>
      <w:hyperlink r:id="rId15" w:history="1">
        <w:r w:rsidRPr="005D5180">
          <w:rPr>
            <w:rStyle w:val="Hyperlink"/>
            <w:sz w:val="18"/>
            <w:szCs w:val="18"/>
          </w:rPr>
          <w:t>PDF</w:t>
        </w:r>
      </w:hyperlink>
    </w:p>
  </w:footnote>
  <w:footnote w:id="16">
    <w:p w14:paraId="4E35360D" w14:textId="443D7012" w:rsidR="009D111D" w:rsidRDefault="009D111D" w:rsidP="009D111D">
      <w:pPr>
        <w:pStyle w:val="FootnoteText"/>
      </w:pPr>
      <w:r>
        <w:rPr>
          <w:rStyle w:val="FootnoteReference"/>
        </w:rPr>
        <w:footnoteRef/>
      </w:r>
      <w:r>
        <w:t xml:space="preserve"> </w:t>
      </w:r>
      <w:r w:rsidR="00B81984" w:rsidRPr="005D5180">
        <w:rPr>
          <w:sz w:val="18"/>
          <w:szCs w:val="18"/>
        </w:rPr>
        <w:t xml:space="preserve">For more information, </w:t>
      </w:r>
      <w:hyperlink r:id="rId16" w:history="1">
        <w:r w:rsidRPr="002449F7">
          <w:rPr>
            <w:rStyle w:val="Hyperlink"/>
            <w:sz w:val="18"/>
            <w:szCs w:val="18"/>
          </w:rPr>
          <w:t>Alberta summary resource revenue workbooks</w:t>
        </w:r>
      </w:hyperlink>
    </w:p>
  </w:footnote>
  <w:footnote w:id="17">
    <w:p w14:paraId="7B0F4A3E" w14:textId="322C4760" w:rsidR="00330758" w:rsidRDefault="00330758">
      <w:pPr>
        <w:pStyle w:val="FootnoteText"/>
      </w:pPr>
      <w:r>
        <w:rPr>
          <w:rStyle w:val="FootnoteReference"/>
        </w:rPr>
        <w:footnoteRef/>
      </w:r>
      <w:r>
        <w:t xml:space="preserve"> </w:t>
      </w:r>
      <w:hyperlink r:id="rId17" w:history="1">
        <w:r>
          <w:rPr>
            <w:rStyle w:val="Hyperlink"/>
          </w:rPr>
          <w:t>Mineral ownership in Alberta - open.alberta.ca</w:t>
        </w:r>
      </w:hyperlink>
    </w:p>
  </w:footnote>
  <w:footnote w:id="18">
    <w:p w14:paraId="10393A1E" w14:textId="171387F4" w:rsidR="00330758" w:rsidRDefault="00330758">
      <w:pPr>
        <w:pStyle w:val="FootnoteText"/>
      </w:pPr>
      <w:r>
        <w:rPr>
          <w:rStyle w:val="FootnoteReference"/>
        </w:rPr>
        <w:footnoteRef/>
      </w:r>
      <w:r>
        <w:t xml:space="preserve"> </w:t>
      </w:r>
      <w:hyperlink r:id="rId18" w:history="1">
        <w:r>
          <w:rPr>
            <w:rStyle w:val="Hyperlink"/>
          </w:rPr>
          <w:t>Alberta Freehold Mineral Tax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36FD2"/>
    <w:multiLevelType w:val="multilevel"/>
    <w:tmpl w:val="3AF6391E"/>
    <w:lvl w:ilvl="0">
      <w:start w:val="5"/>
      <w:numFmt w:val="decimal"/>
      <w:lvlText w:val="%1"/>
      <w:lvlJc w:val="left"/>
      <w:pPr>
        <w:ind w:left="420" w:hanging="420"/>
      </w:pPr>
      <w:rPr>
        <w:rFonts w:hint="default"/>
      </w:rPr>
    </w:lvl>
    <w:lvl w:ilvl="1">
      <w:start w:val="9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E191381"/>
    <w:multiLevelType w:val="hybridMultilevel"/>
    <w:tmpl w:val="CB565020"/>
    <w:lvl w:ilvl="0" w:tplc="6EE6E4BC">
      <w:start w:val="8"/>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633D0"/>
    <w:multiLevelType w:val="hybridMultilevel"/>
    <w:tmpl w:val="EFD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8052D"/>
    <w:multiLevelType w:val="multilevel"/>
    <w:tmpl w:val="334A2572"/>
    <w:lvl w:ilvl="0">
      <w:start w:val="1"/>
      <w:numFmt w:val="decimal"/>
      <w:lvlText w:val="%1."/>
      <w:lvlJc w:val="left"/>
      <w:pPr>
        <w:tabs>
          <w:tab w:val="num" w:pos="360"/>
        </w:tabs>
        <w:ind w:left="360" w:hanging="360"/>
      </w:pPr>
      <w:rPr>
        <w:rFonts w:hint="default"/>
        <w:sz w:val="20"/>
      </w:rPr>
    </w:lvl>
    <w:lvl w:ilvl="1">
      <w:start w:val="1"/>
      <w:numFmt w:val="bullet"/>
      <w:lvlText w:val=""/>
      <w:lvlJc w:val="left"/>
      <w:pPr>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01E68AB"/>
    <w:multiLevelType w:val="hybridMultilevel"/>
    <w:tmpl w:val="7AA6D8FA"/>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23DB3596"/>
    <w:multiLevelType w:val="multilevel"/>
    <w:tmpl w:val="5B3EC58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5CA7863"/>
    <w:multiLevelType w:val="hybridMultilevel"/>
    <w:tmpl w:val="155A9A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D415DAE"/>
    <w:multiLevelType w:val="multilevel"/>
    <w:tmpl w:val="443C0560"/>
    <w:lvl w:ilvl="0">
      <w:start w:val="1"/>
      <w:numFmt w:val="decimal"/>
      <w:lvlText w:val="%1."/>
      <w:lvlJc w:val="left"/>
      <w:pPr>
        <w:tabs>
          <w:tab w:val="num" w:pos="360"/>
        </w:tabs>
        <w:ind w:left="360" w:hanging="360"/>
      </w:pPr>
      <w:rPr>
        <w:rFonts w:hint="default"/>
        <w:i w:val="0"/>
        <w:iCs w:val="0"/>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F4B0F59"/>
    <w:multiLevelType w:val="multilevel"/>
    <w:tmpl w:val="E33C058C"/>
    <w:lvl w:ilvl="0">
      <w:start w:val="1"/>
      <w:numFmt w:val="bullet"/>
      <w:lvlText w:val=""/>
      <w:lvlJc w:val="left"/>
      <w:pPr>
        <w:tabs>
          <w:tab w:val="num" w:pos="1074"/>
        </w:tabs>
        <w:ind w:left="1074" w:hanging="360"/>
      </w:pPr>
      <w:rPr>
        <w:rFonts w:ascii="Symbol" w:hAnsi="Symbol" w:hint="default"/>
        <w:sz w:val="20"/>
      </w:rPr>
    </w:lvl>
    <w:lvl w:ilvl="1">
      <w:start w:val="1"/>
      <w:numFmt w:val="bullet"/>
      <w:lvlText w:val="o"/>
      <w:lvlJc w:val="left"/>
      <w:pPr>
        <w:tabs>
          <w:tab w:val="num" w:pos="1794"/>
        </w:tabs>
        <w:ind w:left="1794" w:hanging="360"/>
      </w:pPr>
      <w:rPr>
        <w:rFonts w:ascii="Courier New" w:hAnsi="Courier New" w:hint="default"/>
        <w:sz w:val="20"/>
      </w:rPr>
    </w:lvl>
    <w:lvl w:ilvl="2">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9" w15:restartNumberingAfterBreak="0">
    <w:nsid w:val="3A213300"/>
    <w:multiLevelType w:val="hybridMultilevel"/>
    <w:tmpl w:val="E9B69F78"/>
    <w:lvl w:ilvl="0" w:tplc="D490172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823E8"/>
    <w:multiLevelType w:val="hybridMultilevel"/>
    <w:tmpl w:val="70EEB848"/>
    <w:lvl w:ilvl="0" w:tplc="65EC88AA">
      <w:start w:val="2"/>
      <w:numFmt w:val="decimal"/>
      <w:lvlText w:val="%1"/>
      <w:lvlJc w:val="left"/>
      <w:pPr>
        <w:ind w:left="720" w:hanging="360"/>
      </w:pPr>
      <w:rPr>
        <w:rFonts w:hAnsi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F94A5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3B06A5"/>
    <w:multiLevelType w:val="hybridMultilevel"/>
    <w:tmpl w:val="BFC6B6AE"/>
    <w:lvl w:ilvl="0" w:tplc="6EE6E4BC">
      <w:start w:val="8"/>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8161E9"/>
    <w:multiLevelType w:val="multilevel"/>
    <w:tmpl w:val="5B3EC58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69B63B7A"/>
    <w:multiLevelType w:val="hybridMultilevel"/>
    <w:tmpl w:val="F51A6AF2"/>
    <w:lvl w:ilvl="0" w:tplc="5CC8D058">
      <w:start w:val="1"/>
      <w:numFmt w:val="decimal"/>
      <w:lvlText w:val="%1."/>
      <w:lvlJc w:val="left"/>
      <w:pPr>
        <w:ind w:left="720" w:hanging="360"/>
      </w:pPr>
    </w:lvl>
    <w:lvl w:ilvl="1" w:tplc="7ABC0CBE">
      <w:start w:val="1"/>
      <w:numFmt w:val="decimal"/>
      <w:lvlText w:val="%2."/>
      <w:lvlJc w:val="left"/>
      <w:pPr>
        <w:ind w:left="720" w:hanging="360"/>
      </w:pPr>
    </w:lvl>
    <w:lvl w:ilvl="2" w:tplc="449695B4">
      <w:start w:val="1"/>
      <w:numFmt w:val="decimal"/>
      <w:lvlText w:val="%3."/>
      <w:lvlJc w:val="left"/>
      <w:pPr>
        <w:ind w:left="720" w:hanging="360"/>
      </w:pPr>
    </w:lvl>
    <w:lvl w:ilvl="3" w:tplc="8ED2A2AE">
      <w:start w:val="1"/>
      <w:numFmt w:val="decimal"/>
      <w:lvlText w:val="%4."/>
      <w:lvlJc w:val="left"/>
      <w:pPr>
        <w:ind w:left="720" w:hanging="360"/>
      </w:pPr>
    </w:lvl>
    <w:lvl w:ilvl="4" w:tplc="834A20B0">
      <w:start w:val="1"/>
      <w:numFmt w:val="decimal"/>
      <w:lvlText w:val="%5."/>
      <w:lvlJc w:val="left"/>
      <w:pPr>
        <w:ind w:left="720" w:hanging="360"/>
      </w:pPr>
    </w:lvl>
    <w:lvl w:ilvl="5" w:tplc="7AAEF824">
      <w:start w:val="1"/>
      <w:numFmt w:val="decimal"/>
      <w:lvlText w:val="%6."/>
      <w:lvlJc w:val="left"/>
      <w:pPr>
        <w:ind w:left="720" w:hanging="360"/>
      </w:pPr>
    </w:lvl>
    <w:lvl w:ilvl="6" w:tplc="0DB05C80">
      <w:start w:val="1"/>
      <w:numFmt w:val="decimal"/>
      <w:lvlText w:val="%7."/>
      <w:lvlJc w:val="left"/>
      <w:pPr>
        <w:ind w:left="720" w:hanging="360"/>
      </w:pPr>
    </w:lvl>
    <w:lvl w:ilvl="7" w:tplc="02D26F8A">
      <w:start w:val="1"/>
      <w:numFmt w:val="decimal"/>
      <w:lvlText w:val="%8."/>
      <w:lvlJc w:val="left"/>
      <w:pPr>
        <w:ind w:left="720" w:hanging="360"/>
      </w:pPr>
    </w:lvl>
    <w:lvl w:ilvl="8" w:tplc="7AAC9FE8">
      <w:start w:val="1"/>
      <w:numFmt w:val="decimal"/>
      <w:lvlText w:val="%9."/>
      <w:lvlJc w:val="left"/>
      <w:pPr>
        <w:ind w:left="720" w:hanging="360"/>
      </w:pPr>
    </w:lvl>
  </w:abstractNum>
  <w:abstractNum w:abstractNumId="15" w15:restartNumberingAfterBreak="0">
    <w:nsid w:val="6CB94720"/>
    <w:multiLevelType w:val="multilevel"/>
    <w:tmpl w:val="D19CE7B2"/>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FB95DFC"/>
    <w:multiLevelType w:val="hybridMultilevel"/>
    <w:tmpl w:val="9D22941E"/>
    <w:lvl w:ilvl="0" w:tplc="D49017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7F6302"/>
    <w:multiLevelType w:val="multilevel"/>
    <w:tmpl w:val="031CA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74867967">
    <w:abstractNumId w:val="8"/>
  </w:num>
  <w:num w:numId="2" w16cid:durableId="495269622">
    <w:abstractNumId w:val="3"/>
  </w:num>
  <w:num w:numId="3" w16cid:durableId="452989542">
    <w:abstractNumId w:val="2"/>
  </w:num>
  <w:num w:numId="4" w16cid:durableId="27947756">
    <w:abstractNumId w:val="14"/>
  </w:num>
  <w:num w:numId="5" w16cid:durableId="503057198">
    <w:abstractNumId w:val="6"/>
  </w:num>
  <w:num w:numId="6" w16cid:durableId="1186018011">
    <w:abstractNumId w:val="7"/>
  </w:num>
  <w:num w:numId="7" w16cid:durableId="475143782">
    <w:abstractNumId w:val="15"/>
  </w:num>
  <w:num w:numId="8" w16cid:durableId="1635597887">
    <w:abstractNumId w:val="12"/>
  </w:num>
  <w:num w:numId="9" w16cid:durableId="738135214">
    <w:abstractNumId w:val="17"/>
  </w:num>
  <w:num w:numId="10" w16cid:durableId="2020505127">
    <w:abstractNumId w:val="1"/>
  </w:num>
  <w:num w:numId="11" w16cid:durableId="1499350193">
    <w:abstractNumId w:val="9"/>
  </w:num>
  <w:num w:numId="12" w16cid:durableId="1902250229">
    <w:abstractNumId w:val="11"/>
  </w:num>
  <w:num w:numId="13" w16cid:durableId="1305235732">
    <w:abstractNumId w:val="0"/>
  </w:num>
  <w:num w:numId="14" w16cid:durableId="51931661">
    <w:abstractNumId w:val="10"/>
  </w:num>
  <w:num w:numId="15" w16cid:durableId="361319271">
    <w:abstractNumId w:val="13"/>
  </w:num>
  <w:num w:numId="16" w16cid:durableId="1880897686">
    <w:abstractNumId w:val="5"/>
  </w:num>
  <w:num w:numId="17" w16cid:durableId="1932927131">
    <w:abstractNumId w:val="4"/>
  </w:num>
  <w:num w:numId="18" w16cid:durableId="78211419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F97"/>
    <w:rsid w:val="000019FB"/>
    <w:rsid w:val="0000351F"/>
    <w:rsid w:val="0000524B"/>
    <w:rsid w:val="00005345"/>
    <w:rsid w:val="0000686A"/>
    <w:rsid w:val="00010509"/>
    <w:rsid w:val="00011CC4"/>
    <w:rsid w:val="00013722"/>
    <w:rsid w:val="000151C4"/>
    <w:rsid w:val="00015220"/>
    <w:rsid w:val="00020419"/>
    <w:rsid w:val="00021A2A"/>
    <w:rsid w:val="00023C5C"/>
    <w:rsid w:val="000240D3"/>
    <w:rsid w:val="00024F69"/>
    <w:rsid w:val="0002614D"/>
    <w:rsid w:val="000279C6"/>
    <w:rsid w:val="00030DD9"/>
    <w:rsid w:val="00031D4A"/>
    <w:rsid w:val="0003290A"/>
    <w:rsid w:val="00032A8E"/>
    <w:rsid w:val="00032D6A"/>
    <w:rsid w:val="00032E71"/>
    <w:rsid w:val="00033415"/>
    <w:rsid w:val="00033752"/>
    <w:rsid w:val="00034AF2"/>
    <w:rsid w:val="00040FAD"/>
    <w:rsid w:val="000423A9"/>
    <w:rsid w:val="0004365A"/>
    <w:rsid w:val="000439F9"/>
    <w:rsid w:val="00047732"/>
    <w:rsid w:val="000547B8"/>
    <w:rsid w:val="00057FAF"/>
    <w:rsid w:val="0006045A"/>
    <w:rsid w:val="00060499"/>
    <w:rsid w:val="00062826"/>
    <w:rsid w:val="000630B6"/>
    <w:rsid w:val="000635CA"/>
    <w:rsid w:val="00063E4C"/>
    <w:rsid w:val="00064E0C"/>
    <w:rsid w:val="00064F08"/>
    <w:rsid w:val="00066833"/>
    <w:rsid w:val="00066E97"/>
    <w:rsid w:val="00067022"/>
    <w:rsid w:val="000709ED"/>
    <w:rsid w:val="0007310D"/>
    <w:rsid w:val="000732AA"/>
    <w:rsid w:val="000736C9"/>
    <w:rsid w:val="000738C6"/>
    <w:rsid w:val="000738CC"/>
    <w:rsid w:val="000739BA"/>
    <w:rsid w:val="00073A9E"/>
    <w:rsid w:val="00073F51"/>
    <w:rsid w:val="000745D0"/>
    <w:rsid w:val="00075ECC"/>
    <w:rsid w:val="000765D1"/>
    <w:rsid w:val="00076C8E"/>
    <w:rsid w:val="00076F1C"/>
    <w:rsid w:val="00081C49"/>
    <w:rsid w:val="00083274"/>
    <w:rsid w:val="00083D26"/>
    <w:rsid w:val="000845A6"/>
    <w:rsid w:val="00085B45"/>
    <w:rsid w:val="00086F67"/>
    <w:rsid w:val="00091201"/>
    <w:rsid w:val="00091E0B"/>
    <w:rsid w:val="00092077"/>
    <w:rsid w:val="000927D8"/>
    <w:rsid w:val="00093420"/>
    <w:rsid w:val="00093889"/>
    <w:rsid w:val="000947DA"/>
    <w:rsid w:val="000949BE"/>
    <w:rsid w:val="000951AB"/>
    <w:rsid w:val="00097FC1"/>
    <w:rsid w:val="000A0042"/>
    <w:rsid w:val="000A34F2"/>
    <w:rsid w:val="000A37A8"/>
    <w:rsid w:val="000A3F4F"/>
    <w:rsid w:val="000A59A0"/>
    <w:rsid w:val="000A6824"/>
    <w:rsid w:val="000B05E8"/>
    <w:rsid w:val="000B10F0"/>
    <w:rsid w:val="000B2A8B"/>
    <w:rsid w:val="000C0CC0"/>
    <w:rsid w:val="000C3C92"/>
    <w:rsid w:val="000C41D8"/>
    <w:rsid w:val="000C51F7"/>
    <w:rsid w:val="000C63A0"/>
    <w:rsid w:val="000C779D"/>
    <w:rsid w:val="000D0AA8"/>
    <w:rsid w:val="000D108A"/>
    <w:rsid w:val="000D2759"/>
    <w:rsid w:val="000D3676"/>
    <w:rsid w:val="000D39A1"/>
    <w:rsid w:val="000D43F4"/>
    <w:rsid w:val="000D46CE"/>
    <w:rsid w:val="000D53D7"/>
    <w:rsid w:val="000D68C9"/>
    <w:rsid w:val="000D7FEE"/>
    <w:rsid w:val="000E053F"/>
    <w:rsid w:val="000E1D0F"/>
    <w:rsid w:val="000E32AC"/>
    <w:rsid w:val="000E4240"/>
    <w:rsid w:val="000E7230"/>
    <w:rsid w:val="000F0247"/>
    <w:rsid w:val="000F041E"/>
    <w:rsid w:val="000F0B4D"/>
    <w:rsid w:val="000F103A"/>
    <w:rsid w:val="000F1680"/>
    <w:rsid w:val="000F2425"/>
    <w:rsid w:val="000F28A8"/>
    <w:rsid w:val="000F3840"/>
    <w:rsid w:val="000F6B14"/>
    <w:rsid w:val="000F746D"/>
    <w:rsid w:val="000F7E63"/>
    <w:rsid w:val="001004B0"/>
    <w:rsid w:val="00100D86"/>
    <w:rsid w:val="00101CBB"/>
    <w:rsid w:val="001026A1"/>
    <w:rsid w:val="00102727"/>
    <w:rsid w:val="00102747"/>
    <w:rsid w:val="0010370F"/>
    <w:rsid w:val="00105DD3"/>
    <w:rsid w:val="001061C5"/>
    <w:rsid w:val="001064A3"/>
    <w:rsid w:val="001064C0"/>
    <w:rsid w:val="001065D1"/>
    <w:rsid w:val="00110F6D"/>
    <w:rsid w:val="00111EBA"/>
    <w:rsid w:val="001128A0"/>
    <w:rsid w:val="00112CB9"/>
    <w:rsid w:val="001140CC"/>
    <w:rsid w:val="00114390"/>
    <w:rsid w:val="001143E7"/>
    <w:rsid w:val="001146BA"/>
    <w:rsid w:val="0011489D"/>
    <w:rsid w:val="00114A51"/>
    <w:rsid w:val="00115F86"/>
    <w:rsid w:val="00120926"/>
    <w:rsid w:val="00121216"/>
    <w:rsid w:val="00121DAC"/>
    <w:rsid w:val="00122DBC"/>
    <w:rsid w:val="00127651"/>
    <w:rsid w:val="00131002"/>
    <w:rsid w:val="00131A68"/>
    <w:rsid w:val="001321FC"/>
    <w:rsid w:val="0013257E"/>
    <w:rsid w:val="00132C6B"/>
    <w:rsid w:val="00132F75"/>
    <w:rsid w:val="0013417F"/>
    <w:rsid w:val="00137AEC"/>
    <w:rsid w:val="00141782"/>
    <w:rsid w:val="001425BA"/>
    <w:rsid w:val="0014272B"/>
    <w:rsid w:val="00142A29"/>
    <w:rsid w:val="00142D08"/>
    <w:rsid w:val="0014305D"/>
    <w:rsid w:val="00143FF5"/>
    <w:rsid w:val="0014638A"/>
    <w:rsid w:val="00150039"/>
    <w:rsid w:val="001503CE"/>
    <w:rsid w:val="0015174E"/>
    <w:rsid w:val="00151AA2"/>
    <w:rsid w:val="00151D04"/>
    <w:rsid w:val="001523AF"/>
    <w:rsid w:val="001543F9"/>
    <w:rsid w:val="00156775"/>
    <w:rsid w:val="00157301"/>
    <w:rsid w:val="00160B31"/>
    <w:rsid w:val="0016224D"/>
    <w:rsid w:val="0016676D"/>
    <w:rsid w:val="00166C80"/>
    <w:rsid w:val="00167DD6"/>
    <w:rsid w:val="0017072A"/>
    <w:rsid w:val="00170867"/>
    <w:rsid w:val="0017261F"/>
    <w:rsid w:val="00172B60"/>
    <w:rsid w:val="00173786"/>
    <w:rsid w:val="00173A7A"/>
    <w:rsid w:val="00174428"/>
    <w:rsid w:val="00174441"/>
    <w:rsid w:val="00174D57"/>
    <w:rsid w:val="00176FC5"/>
    <w:rsid w:val="001802C2"/>
    <w:rsid w:val="00181318"/>
    <w:rsid w:val="00181542"/>
    <w:rsid w:val="00182811"/>
    <w:rsid w:val="00182DB5"/>
    <w:rsid w:val="00183509"/>
    <w:rsid w:val="0018406F"/>
    <w:rsid w:val="00184BD9"/>
    <w:rsid w:val="00184DA1"/>
    <w:rsid w:val="001860D6"/>
    <w:rsid w:val="00186EBB"/>
    <w:rsid w:val="00191C71"/>
    <w:rsid w:val="001944C5"/>
    <w:rsid w:val="001947F0"/>
    <w:rsid w:val="0019514B"/>
    <w:rsid w:val="001966F3"/>
    <w:rsid w:val="00197242"/>
    <w:rsid w:val="00197923"/>
    <w:rsid w:val="001A05E4"/>
    <w:rsid w:val="001A11CD"/>
    <w:rsid w:val="001A12B0"/>
    <w:rsid w:val="001A13B9"/>
    <w:rsid w:val="001A2450"/>
    <w:rsid w:val="001A2BBE"/>
    <w:rsid w:val="001A4023"/>
    <w:rsid w:val="001A4BD8"/>
    <w:rsid w:val="001A75F7"/>
    <w:rsid w:val="001A7EDA"/>
    <w:rsid w:val="001B0AA1"/>
    <w:rsid w:val="001B5058"/>
    <w:rsid w:val="001B734A"/>
    <w:rsid w:val="001C1C59"/>
    <w:rsid w:val="001C1EA7"/>
    <w:rsid w:val="001C22AB"/>
    <w:rsid w:val="001C269D"/>
    <w:rsid w:val="001C6499"/>
    <w:rsid w:val="001C6D7E"/>
    <w:rsid w:val="001C79B0"/>
    <w:rsid w:val="001D053E"/>
    <w:rsid w:val="001D1167"/>
    <w:rsid w:val="001D1BFD"/>
    <w:rsid w:val="001D32D3"/>
    <w:rsid w:val="001D4117"/>
    <w:rsid w:val="001D46B5"/>
    <w:rsid w:val="001D66AE"/>
    <w:rsid w:val="001D73CA"/>
    <w:rsid w:val="001D78F4"/>
    <w:rsid w:val="001D7C62"/>
    <w:rsid w:val="001D7C75"/>
    <w:rsid w:val="001E1029"/>
    <w:rsid w:val="001E2D9E"/>
    <w:rsid w:val="001E3C73"/>
    <w:rsid w:val="001E5262"/>
    <w:rsid w:val="001E58AD"/>
    <w:rsid w:val="001E6923"/>
    <w:rsid w:val="001E7B75"/>
    <w:rsid w:val="001F09B0"/>
    <w:rsid w:val="001F0B11"/>
    <w:rsid w:val="001F1B92"/>
    <w:rsid w:val="001F4EC2"/>
    <w:rsid w:val="001F5C8C"/>
    <w:rsid w:val="001F6478"/>
    <w:rsid w:val="001F6F34"/>
    <w:rsid w:val="001F743E"/>
    <w:rsid w:val="002035D5"/>
    <w:rsid w:val="00203F93"/>
    <w:rsid w:val="002064B3"/>
    <w:rsid w:val="00207020"/>
    <w:rsid w:val="00207278"/>
    <w:rsid w:val="00211A28"/>
    <w:rsid w:val="00211E02"/>
    <w:rsid w:val="00212CA3"/>
    <w:rsid w:val="0021401D"/>
    <w:rsid w:val="00214243"/>
    <w:rsid w:val="002149EB"/>
    <w:rsid w:val="0021642A"/>
    <w:rsid w:val="00216EFB"/>
    <w:rsid w:val="00216FB4"/>
    <w:rsid w:val="00220802"/>
    <w:rsid w:val="00221A49"/>
    <w:rsid w:val="0022252F"/>
    <w:rsid w:val="00224EB3"/>
    <w:rsid w:val="00225C11"/>
    <w:rsid w:val="00225D70"/>
    <w:rsid w:val="0023118E"/>
    <w:rsid w:val="00232428"/>
    <w:rsid w:val="0023250A"/>
    <w:rsid w:val="00232A33"/>
    <w:rsid w:val="0023337A"/>
    <w:rsid w:val="00233B9F"/>
    <w:rsid w:val="00234267"/>
    <w:rsid w:val="00235349"/>
    <w:rsid w:val="00235443"/>
    <w:rsid w:val="00237090"/>
    <w:rsid w:val="00237612"/>
    <w:rsid w:val="00237F67"/>
    <w:rsid w:val="00241663"/>
    <w:rsid w:val="00243D22"/>
    <w:rsid w:val="00244250"/>
    <w:rsid w:val="002449F7"/>
    <w:rsid w:val="002452FA"/>
    <w:rsid w:val="00245456"/>
    <w:rsid w:val="00252287"/>
    <w:rsid w:val="00252BD9"/>
    <w:rsid w:val="00253CCE"/>
    <w:rsid w:val="002560ED"/>
    <w:rsid w:val="00256293"/>
    <w:rsid w:val="00256DF7"/>
    <w:rsid w:val="00257142"/>
    <w:rsid w:val="00261649"/>
    <w:rsid w:val="00262108"/>
    <w:rsid w:val="002627D2"/>
    <w:rsid w:val="002639CB"/>
    <w:rsid w:val="00263CDF"/>
    <w:rsid w:val="0026426F"/>
    <w:rsid w:val="002711DC"/>
    <w:rsid w:val="002721B5"/>
    <w:rsid w:val="00273631"/>
    <w:rsid w:val="002739A7"/>
    <w:rsid w:val="002745CB"/>
    <w:rsid w:val="002772B3"/>
    <w:rsid w:val="00281A5E"/>
    <w:rsid w:val="0028320B"/>
    <w:rsid w:val="002837E5"/>
    <w:rsid w:val="002860FB"/>
    <w:rsid w:val="00294BD9"/>
    <w:rsid w:val="0029510D"/>
    <w:rsid w:val="00295A50"/>
    <w:rsid w:val="002A0795"/>
    <w:rsid w:val="002A094C"/>
    <w:rsid w:val="002A16A0"/>
    <w:rsid w:val="002A3603"/>
    <w:rsid w:val="002A59E1"/>
    <w:rsid w:val="002A609B"/>
    <w:rsid w:val="002A6E3A"/>
    <w:rsid w:val="002B0919"/>
    <w:rsid w:val="002B1AAA"/>
    <w:rsid w:val="002B46C8"/>
    <w:rsid w:val="002B7C02"/>
    <w:rsid w:val="002C2325"/>
    <w:rsid w:val="002C2AFD"/>
    <w:rsid w:val="002C3B18"/>
    <w:rsid w:val="002C43C4"/>
    <w:rsid w:val="002C4D77"/>
    <w:rsid w:val="002C59F5"/>
    <w:rsid w:val="002C6547"/>
    <w:rsid w:val="002C7A4C"/>
    <w:rsid w:val="002D08B6"/>
    <w:rsid w:val="002D08D1"/>
    <w:rsid w:val="002D2BB1"/>
    <w:rsid w:val="002D3F63"/>
    <w:rsid w:val="002D699B"/>
    <w:rsid w:val="002D7626"/>
    <w:rsid w:val="002E0741"/>
    <w:rsid w:val="002E14DF"/>
    <w:rsid w:val="002E2682"/>
    <w:rsid w:val="002E26C3"/>
    <w:rsid w:val="002E3EA1"/>
    <w:rsid w:val="002E6F35"/>
    <w:rsid w:val="002E775D"/>
    <w:rsid w:val="002F08EB"/>
    <w:rsid w:val="002F2129"/>
    <w:rsid w:val="002F26B7"/>
    <w:rsid w:val="002F2CB6"/>
    <w:rsid w:val="002F3B8C"/>
    <w:rsid w:val="002F4AA5"/>
    <w:rsid w:val="002F51CE"/>
    <w:rsid w:val="002F5D82"/>
    <w:rsid w:val="002F6809"/>
    <w:rsid w:val="002F6D35"/>
    <w:rsid w:val="002F7331"/>
    <w:rsid w:val="00301C9A"/>
    <w:rsid w:val="003021D3"/>
    <w:rsid w:val="0030358F"/>
    <w:rsid w:val="00303F0A"/>
    <w:rsid w:val="00304C99"/>
    <w:rsid w:val="00305089"/>
    <w:rsid w:val="00305600"/>
    <w:rsid w:val="003069D6"/>
    <w:rsid w:val="00307698"/>
    <w:rsid w:val="003111DA"/>
    <w:rsid w:val="00311236"/>
    <w:rsid w:val="003154B2"/>
    <w:rsid w:val="003177C7"/>
    <w:rsid w:val="0032041E"/>
    <w:rsid w:val="00320DF7"/>
    <w:rsid w:val="00320FCF"/>
    <w:rsid w:val="0032149C"/>
    <w:rsid w:val="003226D5"/>
    <w:rsid w:val="00322820"/>
    <w:rsid w:val="00325B7E"/>
    <w:rsid w:val="003266C9"/>
    <w:rsid w:val="00326E8B"/>
    <w:rsid w:val="00327899"/>
    <w:rsid w:val="00330758"/>
    <w:rsid w:val="00330F30"/>
    <w:rsid w:val="003322F3"/>
    <w:rsid w:val="00334A39"/>
    <w:rsid w:val="00335EF6"/>
    <w:rsid w:val="003374F7"/>
    <w:rsid w:val="00340D35"/>
    <w:rsid w:val="003429BA"/>
    <w:rsid w:val="003438C1"/>
    <w:rsid w:val="00344690"/>
    <w:rsid w:val="00344737"/>
    <w:rsid w:val="00345BA7"/>
    <w:rsid w:val="00346443"/>
    <w:rsid w:val="00356BA7"/>
    <w:rsid w:val="00356CE8"/>
    <w:rsid w:val="00357F1A"/>
    <w:rsid w:val="00360248"/>
    <w:rsid w:val="00360B05"/>
    <w:rsid w:val="0036112B"/>
    <w:rsid w:val="00361F19"/>
    <w:rsid w:val="00365C63"/>
    <w:rsid w:val="00366035"/>
    <w:rsid w:val="00370104"/>
    <w:rsid w:val="003709CE"/>
    <w:rsid w:val="00371529"/>
    <w:rsid w:val="003728D4"/>
    <w:rsid w:val="0037349D"/>
    <w:rsid w:val="00376300"/>
    <w:rsid w:val="00380DDF"/>
    <w:rsid w:val="0038252E"/>
    <w:rsid w:val="00382D01"/>
    <w:rsid w:val="00382F0C"/>
    <w:rsid w:val="0038344B"/>
    <w:rsid w:val="00386DE2"/>
    <w:rsid w:val="003917DD"/>
    <w:rsid w:val="003929C4"/>
    <w:rsid w:val="00394100"/>
    <w:rsid w:val="00394C1B"/>
    <w:rsid w:val="003954EA"/>
    <w:rsid w:val="003964EB"/>
    <w:rsid w:val="00396F65"/>
    <w:rsid w:val="0039704C"/>
    <w:rsid w:val="003978A4"/>
    <w:rsid w:val="00397D7C"/>
    <w:rsid w:val="003A0399"/>
    <w:rsid w:val="003A0C74"/>
    <w:rsid w:val="003A12F7"/>
    <w:rsid w:val="003A2E7C"/>
    <w:rsid w:val="003A3324"/>
    <w:rsid w:val="003A3DDC"/>
    <w:rsid w:val="003A4BDA"/>
    <w:rsid w:val="003A50D5"/>
    <w:rsid w:val="003A52D6"/>
    <w:rsid w:val="003A5AB2"/>
    <w:rsid w:val="003A713E"/>
    <w:rsid w:val="003B0386"/>
    <w:rsid w:val="003B168A"/>
    <w:rsid w:val="003B2728"/>
    <w:rsid w:val="003B6CD9"/>
    <w:rsid w:val="003B701F"/>
    <w:rsid w:val="003B71F3"/>
    <w:rsid w:val="003C170E"/>
    <w:rsid w:val="003C1A8C"/>
    <w:rsid w:val="003C4F82"/>
    <w:rsid w:val="003C6CD3"/>
    <w:rsid w:val="003C79D6"/>
    <w:rsid w:val="003D07A8"/>
    <w:rsid w:val="003D0F54"/>
    <w:rsid w:val="003D1187"/>
    <w:rsid w:val="003D1A8E"/>
    <w:rsid w:val="003D1B56"/>
    <w:rsid w:val="003D3C90"/>
    <w:rsid w:val="003D436E"/>
    <w:rsid w:val="003D4766"/>
    <w:rsid w:val="003D628E"/>
    <w:rsid w:val="003D73E0"/>
    <w:rsid w:val="003E04AD"/>
    <w:rsid w:val="003E0646"/>
    <w:rsid w:val="003E08DC"/>
    <w:rsid w:val="003E1E62"/>
    <w:rsid w:val="003E2E39"/>
    <w:rsid w:val="003E3301"/>
    <w:rsid w:val="003E4D40"/>
    <w:rsid w:val="003E5CEE"/>
    <w:rsid w:val="003E68D2"/>
    <w:rsid w:val="003E6F9D"/>
    <w:rsid w:val="003E791A"/>
    <w:rsid w:val="003F04CA"/>
    <w:rsid w:val="003F21A5"/>
    <w:rsid w:val="003F339D"/>
    <w:rsid w:val="003F7780"/>
    <w:rsid w:val="004005E4"/>
    <w:rsid w:val="0040061D"/>
    <w:rsid w:val="00400F8D"/>
    <w:rsid w:val="00400FBB"/>
    <w:rsid w:val="004011B4"/>
    <w:rsid w:val="00401A28"/>
    <w:rsid w:val="00401F7F"/>
    <w:rsid w:val="00402A9D"/>
    <w:rsid w:val="00403004"/>
    <w:rsid w:val="00403EF0"/>
    <w:rsid w:val="00405224"/>
    <w:rsid w:val="00405A2E"/>
    <w:rsid w:val="00406BE3"/>
    <w:rsid w:val="00406F15"/>
    <w:rsid w:val="004104BA"/>
    <w:rsid w:val="00411443"/>
    <w:rsid w:val="00411643"/>
    <w:rsid w:val="0041261D"/>
    <w:rsid w:val="00412D15"/>
    <w:rsid w:val="0041427C"/>
    <w:rsid w:val="004157DF"/>
    <w:rsid w:val="00415849"/>
    <w:rsid w:val="00416E79"/>
    <w:rsid w:val="0042011E"/>
    <w:rsid w:val="004202A1"/>
    <w:rsid w:val="004245CD"/>
    <w:rsid w:val="00424A7C"/>
    <w:rsid w:val="00430982"/>
    <w:rsid w:val="0043246B"/>
    <w:rsid w:val="004341BE"/>
    <w:rsid w:val="0043514E"/>
    <w:rsid w:val="00435541"/>
    <w:rsid w:val="0043645A"/>
    <w:rsid w:val="004368C9"/>
    <w:rsid w:val="00436E13"/>
    <w:rsid w:val="00437EBA"/>
    <w:rsid w:val="00440C01"/>
    <w:rsid w:val="0044146E"/>
    <w:rsid w:val="00441AD5"/>
    <w:rsid w:val="00443136"/>
    <w:rsid w:val="00443607"/>
    <w:rsid w:val="00443EFF"/>
    <w:rsid w:val="00445D3E"/>
    <w:rsid w:val="0044608D"/>
    <w:rsid w:val="00446702"/>
    <w:rsid w:val="00446842"/>
    <w:rsid w:val="00447F9B"/>
    <w:rsid w:val="00451DA9"/>
    <w:rsid w:val="00453140"/>
    <w:rsid w:val="00454FC3"/>
    <w:rsid w:val="00455AE5"/>
    <w:rsid w:val="00456B7F"/>
    <w:rsid w:val="00461BF1"/>
    <w:rsid w:val="004631E7"/>
    <w:rsid w:val="00467B95"/>
    <w:rsid w:val="00471005"/>
    <w:rsid w:val="004745A0"/>
    <w:rsid w:val="004745AA"/>
    <w:rsid w:val="004764A4"/>
    <w:rsid w:val="004770BC"/>
    <w:rsid w:val="00477DA5"/>
    <w:rsid w:val="0048018C"/>
    <w:rsid w:val="00480535"/>
    <w:rsid w:val="00480728"/>
    <w:rsid w:val="004809EE"/>
    <w:rsid w:val="00481696"/>
    <w:rsid w:val="00482A7C"/>
    <w:rsid w:val="00483B14"/>
    <w:rsid w:val="00487941"/>
    <w:rsid w:val="004911E6"/>
    <w:rsid w:val="00493C21"/>
    <w:rsid w:val="00493D70"/>
    <w:rsid w:val="00494F68"/>
    <w:rsid w:val="004950D0"/>
    <w:rsid w:val="0049591F"/>
    <w:rsid w:val="004975AE"/>
    <w:rsid w:val="004A050F"/>
    <w:rsid w:val="004A2784"/>
    <w:rsid w:val="004A3734"/>
    <w:rsid w:val="004A6217"/>
    <w:rsid w:val="004B0314"/>
    <w:rsid w:val="004B08FB"/>
    <w:rsid w:val="004B0DEF"/>
    <w:rsid w:val="004B1948"/>
    <w:rsid w:val="004B1D51"/>
    <w:rsid w:val="004B2908"/>
    <w:rsid w:val="004B406E"/>
    <w:rsid w:val="004B42F7"/>
    <w:rsid w:val="004B5805"/>
    <w:rsid w:val="004B763A"/>
    <w:rsid w:val="004C0A4D"/>
    <w:rsid w:val="004C12BD"/>
    <w:rsid w:val="004C199B"/>
    <w:rsid w:val="004C3398"/>
    <w:rsid w:val="004C50D1"/>
    <w:rsid w:val="004C5B57"/>
    <w:rsid w:val="004C6111"/>
    <w:rsid w:val="004C69AC"/>
    <w:rsid w:val="004C6D62"/>
    <w:rsid w:val="004C7A79"/>
    <w:rsid w:val="004D36CE"/>
    <w:rsid w:val="004D37CB"/>
    <w:rsid w:val="004D763B"/>
    <w:rsid w:val="004D7AFF"/>
    <w:rsid w:val="004E1516"/>
    <w:rsid w:val="004E1800"/>
    <w:rsid w:val="004E2560"/>
    <w:rsid w:val="004E304B"/>
    <w:rsid w:val="004E50B8"/>
    <w:rsid w:val="004E5A6C"/>
    <w:rsid w:val="004E6CCB"/>
    <w:rsid w:val="004F03EF"/>
    <w:rsid w:val="004F25DB"/>
    <w:rsid w:val="004F4C9F"/>
    <w:rsid w:val="004F53D2"/>
    <w:rsid w:val="004F5473"/>
    <w:rsid w:val="004F6BF0"/>
    <w:rsid w:val="004F7B75"/>
    <w:rsid w:val="00500D22"/>
    <w:rsid w:val="00501ACE"/>
    <w:rsid w:val="005029BE"/>
    <w:rsid w:val="00502B81"/>
    <w:rsid w:val="005032B9"/>
    <w:rsid w:val="0050341A"/>
    <w:rsid w:val="00506A38"/>
    <w:rsid w:val="00506BBB"/>
    <w:rsid w:val="0050702E"/>
    <w:rsid w:val="00510065"/>
    <w:rsid w:val="0051260C"/>
    <w:rsid w:val="00516B55"/>
    <w:rsid w:val="00517066"/>
    <w:rsid w:val="005172D1"/>
    <w:rsid w:val="00517538"/>
    <w:rsid w:val="005204EE"/>
    <w:rsid w:val="00520E04"/>
    <w:rsid w:val="00523AD7"/>
    <w:rsid w:val="00525943"/>
    <w:rsid w:val="00526AF9"/>
    <w:rsid w:val="00526D6E"/>
    <w:rsid w:val="005308E8"/>
    <w:rsid w:val="0053194B"/>
    <w:rsid w:val="00533FD8"/>
    <w:rsid w:val="00534295"/>
    <w:rsid w:val="005360E5"/>
    <w:rsid w:val="005363F0"/>
    <w:rsid w:val="005374B6"/>
    <w:rsid w:val="00537DFA"/>
    <w:rsid w:val="00543599"/>
    <w:rsid w:val="00543B48"/>
    <w:rsid w:val="00554555"/>
    <w:rsid w:val="00554C5B"/>
    <w:rsid w:val="005556F3"/>
    <w:rsid w:val="0056194D"/>
    <w:rsid w:val="00562C41"/>
    <w:rsid w:val="00564EDB"/>
    <w:rsid w:val="00565EEF"/>
    <w:rsid w:val="0056763D"/>
    <w:rsid w:val="00567717"/>
    <w:rsid w:val="00570D55"/>
    <w:rsid w:val="005710F2"/>
    <w:rsid w:val="005715FD"/>
    <w:rsid w:val="00571853"/>
    <w:rsid w:val="00571C12"/>
    <w:rsid w:val="005720D3"/>
    <w:rsid w:val="00572F3C"/>
    <w:rsid w:val="005744D9"/>
    <w:rsid w:val="0057612D"/>
    <w:rsid w:val="005761D7"/>
    <w:rsid w:val="005767C3"/>
    <w:rsid w:val="005769AB"/>
    <w:rsid w:val="00581107"/>
    <w:rsid w:val="0058218F"/>
    <w:rsid w:val="00583BC6"/>
    <w:rsid w:val="00584BC9"/>
    <w:rsid w:val="005867D1"/>
    <w:rsid w:val="005878D9"/>
    <w:rsid w:val="00590036"/>
    <w:rsid w:val="00590DCC"/>
    <w:rsid w:val="00591A75"/>
    <w:rsid w:val="0059225A"/>
    <w:rsid w:val="0059525E"/>
    <w:rsid w:val="005A038B"/>
    <w:rsid w:val="005A1A7B"/>
    <w:rsid w:val="005A2696"/>
    <w:rsid w:val="005A3330"/>
    <w:rsid w:val="005A50DF"/>
    <w:rsid w:val="005A5F4B"/>
    <w:rsid w:val="005A6008"/>
    <w:rsid w:val="005A6F93"/>
    <w:rsid w:val="005A7143"/>
    <w:rsid w:val="005A75B4"/>
    <w:rsid w:val="005B0487"/>
    <w:rsid w:val="005B15FA"/>
    <w:rsid w:val="005B2145"/>
    <w:rsid w:val="005B241F"/>
    <w:rsid w:val="005B2C70"/>
    <w:rsid w:val="005B323E"/>
    <w:rsid w:val="005B4795"/>
    <w:rsid w:val="005B5CBF"/>
    <w:rsid w:val="005B694B"/>
    <w:rsid w:val="005B7440"/>
    <w:rsid w:val="005B7C67"/>
    <w:rsid w:val="005C0083"/>
    <w:rsid w:val="005C1ECA"/>
    <w:rsid w:val="005C2527"/>
    <w:rsid w:val="005C2773"/>
    <w:rsid w:val="005C33B7"/>
    <w:rsid w:val="005C3A96"/>
    <w:rsid w:val="005C5320"/>
    <w:rsid w:val="005C55D8"/>
    <w:rsid w:val="005C69D4"/>
    <w:rsid w:val="005C70AD"/>
    <w:rsid w:val="005D19C1"/>
    <w:rsid w:val="005D31B9"/>
    <w:rsid w:val="005D47FA"/>
    <w:rsid w:val="005D4E4B"/>
    <w:rsid w:val="005D5180"/>
    <w:rsid w:val="005D7FDD"/>
    <w:rsid w:val="005E2054"/>
    <w:rsid w:val="005E240A"/>
    <w:rsid w:val="005E24C2"/>
    <w:rsid w:val="005E411F"/>
    <w:rsid w:val="005E6A05"/>
    <w:rsid w:val="005F0180"/>
    <w:rsid w:val="005F038B"/>
    <w:rsid w:val="005F0FB4"/>
    <w:rsid w:val="005F1A72"/>
    <w:rsid w:val="005F60C9"/>
    <w:rsid w:val="005F6C76"/>
    <w:rsid w:val="005F787A"/>
    <w:rsid w:val="0060381C"/>
    <w:rsid w:val="00603D7B"/>
    <w:rsid w:val="0060446F"/>
    <w:rsid w:val="00605D49"/>
    <w:rsid w:val="006069CC"/>
    <w:rsid w:val="0061230D"/>
    <w:rsid w:val="006128D9"/>
    <w:rsid w:val="00614FE5"/>
    <w:rsid w:val="0061515C"/>
    <w:rsid w:val="0061775D"/>
    <w:rsid w:val="00621779"/>
    <w:rsid w:val="006225E6"/>
    <w:rsid w:val="00623165"/>
    <w:rsid w:val="00625C96"/>
    <w:rsid w:val="006277BE"/>
    <w:rsid w:val="00631B86"/>
    <w:rsid w:val="006355EF"/>
    <w:rsid w:val="006357BC"/>
    <w:rsid w:val="0063587F"/>
    <w:rsid w:val="006367F5"/>
    <w:rsid w:val="00636ACB"/>
    <w:rsid w:val="00636DA3"/>
    <w:rsid w:val="00640A0F"/>
    <w:rsid w:val="0064127B"/>
    <w:rsid w:val="0064342E"/>
    <w:rsid w:val="00644358"/>
    <w:rsid w:val="00646096"/>
    <w:rsid w:val="00646314"/>
    <w:rsid w:val="00647D7A"/>
    <w:rsid w:val="00647E59"/>
    <w:rsid w:val="00651105"/>
    <w:rsid w:val="00651BFD"/>
    <w:rsid w:val="006560E3"/>
    <w:rsid w:val="006563E8"/>
    <w:rsid w:val="00662C0C"/>
    <w:rsid w:val="00663720"/>
    <w:rsid w:val="00665141"/>
    <w:rsid w:val="0066693B"/>
    <w:rsid w:val="00667370"/>
    <w:rsid w:val="00667A43"/>
    <w:rsid w:val="00671031"/>
    <w:rsid w:val="00671F97"/>
    <w:rsid w:val="0067219F"/>
    <w:rsid w:val="00674F12"/>
    <w:rsid w:val="00675440"/>
    <w:rsid w:val="00676756"/>
    <w:rsid w:val="00677DF5"/>
    <w:rsid w:val="006805AB"/>
    <w:rsid w:val="0068083E"/>
    <w:rsid w:val="00681B13"/>
    <w:rsid w:val="00681D57"/>
    <w:rsid w:val="00682CA3"/>
    <w:rsid w:val="00683871"/>
    <w:rsid w:val="006846B4"/>
    <w:rsid w:val="006867F7"/>
    <w:rsid w:val="00686A88"/>
    <w:rsid w:val="006878D5"/>
    <w:rsid w:val="0069052B"/>
    <w:rsid w:val="0069120B"/>
    <w:rsid w:val="0069210C"/>
    <w:rsid w:val="00692923"/>
    <w:rsid w:val="00694FD3"/>
    <w:rsid w:val="006962F2"/>
    <w:rsid w:val="006972EE"/>
    <w:rsid w:val="006A0050"/>
    <w:rsid w:val="006A1692"/>
    <w:rsid w:val="006A1D5A"/>
    <w:rsid w:val="006A5993"/>
    <w:rsid w:val="006A789A"/>
    <w:rsid w:val="006A7DCF"/>
    <w:rsid w:val="006B0382"/>
    <w:rsid w:val="006B17FF"/>
    <w:rsid w:val="006B2DB3"/>
    <w:rsid w:val="006B5B26"/>
    <w:rsid w:val="006B68B5"/>
    <w:rsid w:val="006C0345"/>
    <w:rsid w:val="006C03AE"/>
    <w:rsid w:val="006C3F9B"/>
    <w:rsid w:val="006C4720"/>
    <w:rsid w:val="006C4C99"/>
    <w:rsid w:val="006C50DB"/>
    <w:rsid w:val="006C6345"/>
    <w:rsid w:val="006C6F95"/>
    <w:rsid w:val="006D0466"/>
    <w:rsid w:val="006D0D68"/>
    <w:rsid w:val="006D5188"/>
    <w:rsid w:val="006D572C"/>
    <w:rsid w:val="006D5BEA"/>
    <w:rsid w:val="006D6374"/>
    <w:rsid w:val="006D6F96"/>
    <w:rsid w:val="006D77F0"/>
    <w:rsid w:val="006E0179"/>
    <w:rsid w:val="006E059C"/>
    <w:rsid w:val="006E1554"/>
    <w:rsid w:val="006E3A07"/>
    <w:rsid w:val="006E3F5D"/>
    <w:rsid w:val="006E57B8"/>
    <w:rsid w:val="006E667F"/>
    <w:rsid w:val="006E690B"/>
    <w:rsid w:val="006F2979"/>
    <w:rsid w:val="006F64C5"/>
    <w:rsid w:val="007006D6"/>
    <w:rsid w:val="00702DA8"/>
    <w:rsid w:val="0070362F"/>
    <w:rsid w:val="007059F0"/>
    <w:rsid w:val="007074B5"/>
    <w:rsid w:val="00707C8E"/>
    <w:rsid w:val="00710545"/>
    <w:rsid w:val="007106B2"/>
    <w:rsid w:val="00712C9F"/>
    <w:rsid w:val="00716691"/>
    <w:rsid w:val="007166AD"/>
    <w:rsid w:val="00717BF0"/>
    <w:rsid w:val="007252BF"/>
    <w:rsid w:val="00726D02"/>
    <w:rsid w:val="007338BA"/>
    <w:rsid w:val="00736173"/>
    <w:rsid w:val="007364BD"/>
    <w:rsid w:val="00736762"/>
    <w:rsid w:val="007409AE"/>
    <w:rsid w:val="00741063"/>
    <w:rsid w:val="007413B1"/>
    <w:rsid w:val="007418B8"/>
    <w:rsid w:val="0074280C"/>
    <w:rsid w:val="00743EDC"/>
    <w:rsid w:val="007444D9"/>
    <w:rsid w:val="00745BFE"/>
    <w:rsid w:val="0074645A"/>
    <w:rsid w:val="0074655D"/>
    <w:rsid w:val="00753185"/>
    <w:rsid w:val="00754508"/>
    <w:rsid w:val="00754C68"/>
    <w:rsid w:val="007570BF"/>
    <w:rsid w:val="007614FF"/>
    <w:rsid w:val="00761A65"/>
    <w:rsid w:val="00763650"/>
    <w:rsid w:val="00764892"/>
    <w:rsid w:val="00766027"/>
    <w:rsid w:val="00767979"/>
    <w:rsid w:val="0077070B"/>
    <w:rsid w:val="00772319"/>
    <w:rsid w:val="0077231E"/>
    <w:rsid w:val="0077726E"/>
    <w:rsid w:val="0078021B"/>
    <w:rsid w:val="00781AC5"/>
    <w:rsid w:val="007822C6"/>
    <w:rsid w:val="007843FA"/>
    <w:rsid w:val="007850AB"/>
    <w:rsid w:val="007860D6"/>
    <w:rsid w:val="0078727F"/>
    <w:rsid w:val="00792200"/>
    <w:rsid w:val="0079270E"/>
    <w:rsid w:val="007953EE"/>
    <w:rsid w:val="007A0F59"/>
    <w:rsid w:val="007A1D6F"/>
    <w:rsid w:val="007A2A4D"/>
    <w:rsid w:val="007A3A9C"/>
    <w:rsid w:val="007A68D8"/>
    <w:rsid w:val="007B0E0A"/>
    <w:rsid w:val="007B328D"/>
    <w:rsid w:val="007B35BF"/>
    <w:rsid w:val="007B3619"/>
    <w:rsid w:val="007C12A2"/>
    <w:rsid w:val="007C2553"/>
    <w:rsid w:val="007C31B4"/>
    <w:rsid w:val="007C502F"/>
    <w:rsid w:val="007C53E4"/>
    <w:rsid w:val="007C64EC"/>
    <w:rsid w:val="007C7849"/>
    <w:rsid w:val="007C7D73"/>
    <w:rsid w:val="007D23A6"/>
    <w:rsid w:val="007D401E"/>
    <w:rsid w:val="007D429D"/>
    <w:rsid w:val="007D4964"/>
    <w:rsid w:val="007D5967"/>
    <w:rsid w:val="007E093B"/>
    <w:rsid w:val="007E2EDC"/>
    <w:rsid w:val="007E47A7"/>
    <w:rsid w:val="007E7DB8"/>
    <w:rsid w:val="007F0518"/>
    <w:rsid w:val="007F439D"/>
    <w:rsid w:val="007F4FAD"/>
    <w:rsid w:val="007F66FC"/>
    <w:rsid w:val="007F6B8C"/>
    <w:rsid w:val="007F771D"/>
    <w:rsid w:val="00800777"/>
    <w:rsid w:val="0080080F"/>
    <w:rsid w:val="00800939"/>
    <w:rsid w:val="008039C4"/>
    <w:rsid w:val="008076FB"/>
    <w:rsid w:val="00810B30"/>
    <w:rsid w:val="008110B2"/>
    <w:rsid w:val="00814972"/>
    <w:rsid w:val="00815880"/>
    <w:rsid w:val="008209A5"/>
    <w:rsid w:val="00820CB1"/>
    <w:rsid w:val="00823393"/>
    <w:rsid w:val="00824C5F"/>
    <w:rsid w:val="00826A4E"/>
    <w:rsid w:val="00827532"/>
    <w:rsid w:val="00830E75"/>
    <w:rsid w:val="0083364F"/>
    <w:rsid w:val="008337AE"/>
    <w:rsid w:val="008340B4"/>
    <w:rsid w:val="00834E23"/>
    <w:rsid w:val="0083592F"/>
    <w:rsid w:val="0083659D"/>
    <w:rsid w:val="008370DE"/>
    <w:rsid w:val="0084016F"/>
    <w:rsid w:val="00840639"/>
    <w:rsid w:val="008408AC"/>
    <w:rsid w:val="00842721"/>
    <w:rsid w:val="0084357B"/>
    <w:rsid w:val="00846B2C"/>
    <w:rsid w:val="00850973"/>
    <w:rsid w:val="008509B9"/>
    <w:rsid w:val="00850ED7"/>
    <w:rsid w:val="00851E81"/>
    <w:rsid w:val="0085273D"/>
    <w:rsid w:val="0085337B"/>
    <w:rsid w:val="00855A54"/>
    <w:rsid w:val="00855B4C"/>
    <w:rsid w:val="00855D58"/>
    <w:rsid w:val="00856241"/>
    <w:rsid w:val="00860656"/>
    <w:rsid w:val="008612BA"/>
    <w:rsid w:val="00861431"/>
    <w:rsid w:val="00861688"/>
    <w:rsid w:val="00862426"/>
    <w:rsid w:val="00862643"/>
    <w:rsid w:val="00863129"/>
    <w:rsid w:val="00863847"/>
    <w:rsid w:val="00863C44"/>
    <w:rsid w:val="00864DE4"/>
    <w:rsid w:val="00865033"/>
    <w:rsid w:val="00865B71"/>
    <w:rsid w:val="00866262"/>
    <w:rsid w:val="008667EA"/>
    <w:rsid w:val="00866AED"/>
    <w:rsid w:val="00870099"/>
    <w:rsid w:val="008703C7"/>
    <w:rsid w:val="0087131F"/>
    <w:rsid w:val="008723A1"/>
    <w:rsid w:val="0087297E"/>
    <w:rsid w:val="00872ADC"/>
    <w:rsid w:val="00872DD7"/>
    <w:rsid w:val="00872EC5"/>
    <w:rsid w:val="0087425D"/>
    <w:rsid w:val="00876560"/>
    <w:rsid w:val="00880219"/>
    <w:rsid w:val="0088074E"/>
    <w:rsid w:val="0088078D"/>
    <w:rsid w:val="00880A26"/>
    <w:rsid w:val="0088188A"/>
    <w:rsid w:val="00881A30"/>
    <w:rsid w:val="00881B18"/>
    <w:rsid w:val="008823D5"/>
    <w:rsid w:val="00882EB1"/>
    <w:rsid w:val="00883F08"/>
    <w:rsid w:val="00883F12"/>
    <w:rsid w:val="00884A69"/>
    <w:rsid w:val="00884F8B"/>
    <w:rsid w:val="00887651"/>
    <w:rsid w:val="00890DA4"/>
    <w:rsid w:val="00891CBB"/>
    <w:rsid w:val="00892EBB"/>
    <w:rsid w:val="00893080"/>
    <w:rsid w:val="00895B70"/>
    <w:rsid w:val="008A26CA"/>
    <w:rsid w:val="008A371B"/>
    <w:rsid w:val="008A4EFE"/>
    <w:rsid w:val="008A5C5E"/>
    <w:rsid w:val="008B0464"/>
    <w:rsid w:val="008B090E"/>
    <w:rsid w:val="008B1C06"/>
    <w:rsid w:val="008B23D9"/>
    <w:rsid w:val="008C14B5"/>
    <w:rsid w:val="008C413F"/>
    <w:rsid w:val="008C4317"/>
    <w:rsid w:val="008C4471"/>
    <w:rsid w:val="008C52DE"/>
    <w:rsid w:val="008C6B1C"/>
    <w:rsid w:val="008D07D0"/>
    <w:rsid w:val="008D2263"/>
    <w:rsid w:val="008D28AA"/>
    <w:rsid w:val="008D2E82"/>
    <w:rsid w:val="008D5B52"/>
    <w:rsid w:val="008D5EB0"/>
    <w:rsid w:val="008D60B3"/>
    <w:rsid w:val="008D69F9"/>
    <w:rsid w:val="008D7A61"/>
    <w:rsid w:val="008E0D83"/>
    <w:rsid w:val="008E16FB"/>
    <w:rsid w:val="008E2DC3"/>
    <w:rsid w:val="008E565D"/>
    <w:rsid w:val="008F0199"/>
    <w:rsid w:val="008F0ECA"/>
    <w:rsid w:val="008F2FB9"/>
    <w:rsid w:val="008F4460"/>
    <w:rsid w:val="008F4CDB"/>
    <w:rsid w:val="008F548C"/>
    <w:rsid w:val="008F648C"/>
    <w:rsid w:val="00900045"/>
    <w:rsid w:val="009005D2"/>
    <w:rsid w:val="009012A4"/>
    <w:rsid w:val="00901410"/>
    <w:rsid w:val="00901F56"/>
    <w:rsid w:val="0090497B"/>
    <w:rsid w:val="009049A6"/>
    <w:rsid w:val="00905972"/>
    <w:rsid w:val="0090735E"/>
    <w:rsid w:val="009104D3"/>
    <w:rsid w:val="009134E0"/>
    <w:rsid w:val="00913893"/>
    <w:rsid w:val="009177FF"/>
    <w:rsid w:val="00917C1A"/>
    <w:rsid w:val="00920D64"/>
    <w:rsid w:val="009220D5"/>
    <w:rsid w:val="009230CD"/>
    <w:rsid w:val="009233EF"/>
    <w:rsid w:val="009255E1"/>
    <w:rsid w:val="00925EF1"/>
    <w:rsid w:val="009260FE"/>
    <w:rsid w:val="009273DF"/>
    <w:rsid w:val="009278E2"/>
    <w:rsid w:val="00927931"/>
    <w:rsid w:val="00931CCA"/>
    <w:rsid w:val="00932E4B"/>
    <w:rsid w:val="009333BB"/>
    <w:rsid w:val="009372EB"/>
    <w:rsid w:val="00937E72"/>
    <w:rsid w:val="00940971"/>
    <w:rsid w:val="009434C9"/>
    <w:rsid w:val="00943B1A"/>
    <w:rsid w:val="009457DB"/>
    <w:rsid w:val="00945A09"/>
    <w:rsid w:val="00953B78"/>
    <w:rsid w:val="009541E6"/>
    <w:rsid w:val="00955B4B"/>
    <w:rsid w:val="00957E0D"/>
    <w:rsid w:val="009614FE"/>
    <w:rsid w:val="0096182C"/>
    <w:rsid w:val="00964099"/>
    <w:rsid w:val="00966DA9"/>
    <w:rsid w:val="009672AA"/>
    <w:rsid w:val="00967588"/>
    <w:rsid w:val="00967A6F"/>
    <w:rsid w:val="009717D4"/>
    <w:rsid w:val="009725C3"/>
    <w:rsid w:val="0097313C"/>
    <w:rsid w:val="009742AA"/>
    <w:rsid w:val="00976090"/>
    <w:rsid w:val="009774C6"/>
    <w:rsid w:val="00977883"/>
    <w:rsid w:val="00981512"/>
    <w:rsid w:val="009823AE"/>
    <w:rsid w:val="00982478"/>
    <w:rsid w:val="00985620"/>
    <w:rsid w:val="00985F40"/>
    <w:rsid w:val="009860A4"/>
    <w:rsid w:val="009871EB"/>
    <w:rsid w:val="00987F43"/>
    <w:rsid w:val="0099050A"/>
    <w:rsid w:val="009918F8"/>
    <w:rsid w:val="0099301B"/>
    <w:rsid w:val="00994FF0"/>
    <w:rsid w:val="00995537"/>
    <w:rsid w:val="00996338"/>
    <w:rsid w:val="00997952"/>
    <w:rsid w:val="009A22D5"/>
    <w:rsid w:val="009A3B29"/>
    <w:rsid w:val="009A6241"/>
    <w:rsid w:val="009A69BC"/>
    <w:rsid w:val="009A6E0C"/>
    <w:rsid w:val="009B0C4B"/>
    <w:rsid w:val="009B21AA"/>
    <w:rsid w:val="009B23D4"/>
    <w:rsid w:val="009B2D4A"/>
    <w:rsid w:val="009B3AB3"/>
    <w:rsid w:val="009B3EC9"/>
    <w:rsid w:val="009B44E0"/>
    <w:rsid w:val="009B4AE2"/>
    <w:rsid w:val="009B5226"/>
    <w:rsid w:val="009B5A40"/>
    <w:rsid w:val="009C174B"/>
    <w:rsid w:val="009C193A"/>
    <w:rsid w:val="009C2ADF"/>
    <w:rsid w:val="009C3B87"/>
    <w:rsid w:val="009C4154"/>
    <w:rsid w:val="009C6073"/>
    <w:rsid w:val="009C6346"/>
    <w:rsid w:val="009C7539"/>
    <w:rsid w:val="009D111D"/>
    <w:rsid w:val="009D1366"/>
    <w:rsid w:val="009D57C7"/>
    <w:rsid w:val="009D616D"/>
    <w:rsid w:val="009D722B"/>
    <w:rsid w:val="009D7AF5"/>
    <w:rsid w:val="009D7BFC"/>
    <w:rsid w:val="009E027C"/>
    <w:rsid w:val="009E2CB1"/>
    <w:rsid w:val="009E2CE9"/>
    <w:rsid w:val="009E4056"/>
    <w:rsid w:val="009E40A4"/>
    <w:rsid w:val="009E4205"/>
    <w:rsid w:val="009F3E8A"/>
    <w:rsid w:val="009F53E1"/>
    <w:rsid w:val="009F587C"/>
    <w:rsid w:val="009F6A21"/>
    <w:rsid w:val="00A022C1"/>
    <w:rsid w:val="00A04355"/>
    <w:rsid w:val="00A04B9E"/>
    <w:rsid w:val="00A04DFE"/>
    <w:rsid w:val="00A05B32"/>
    <w:rsid w:val="00A06C28"/>
    <w:rsid w:val="00A074A6"/>
    <w:rsid w:val="00A114CD"/>
    <w:rsid w:val="00A11BBA"/>
    <w:rsid w:val="00A1347E"/>
    <w:rsid w:val="00A15EDE"/>
    <w:rsid w:val="00A212CF"/>
    <w:rsid w:val="00A230D1"/>
    <w:rsid w:val="00A23D67"/>
    <w:rsid w:val="00A24DCA"/>
    <w:rsid w:val="00A262CE"/>
    <w:rsid w:val="00A267C0"/>
    <w:rsid w:val="00A2696D"/>
    <w:rsid w:val="00A30A65"/>
    <w:rsid w:val="00A31802"/>
    <w:rsid w:val="00A36020"/>
    <w:rsid w:val="00A406F5"/>
    <w:rsid w:val="00A42743"/>
    <w:rsid w:val="00A43CA3"/>
    <w:rsid w:val="00A447BB"/>
    <w:rsid w:val="00A44CA2"/>
    <w:rsid w:val="00A44E9E"/>
    <w:rsid w:val="00A45399"/>
    <w:rsid w:val="00A45876"/>
    <w:rsid w:val="00A4790B"/>
    <w:rsid w:val="00A47DA0"/>
    <w:rsid w:val="00A502FE"/>
    <w:rsid w:val="00A50E9C"/>
    <w:rsid w:val="00A5191C"/>
    <w:rsid w:val="00A5237B"/>
    <w:rsid w:val="00A527D6"/>
    <w:rsid w:val="00A5336D"/>
    <w:rsid w:val="00A55128"/>
    <w:rsid w:val="00A55741"/>
    <w:rsid w:val="00A5580B"/>
    <w:rsid w:val="00A55939"/>
    <w:rsid w:val="00A56363"/>
    <w:rsid w:val="00A600D7"/>
    <w:rsid w:val="00A60BFA"/>
    <w:rsid w:val="00A60E06"/>
    <w:rsid w:val="00A616C6"/>
    <w:rsid w:val="00A627D8"/>
    <w:rsid w:val="00A63193"/>
    <w:rsid w:val="00A63398"/>
    <w:rsid w:val="00A6507B"/>
    <w:rsid w:val="00A652FB"/>
    <w:rsid w:val="00A663BF"/>
    <w:rsid w:val="00A673C1"/>
    <w:rsid w:val="00A70259"/>
    <w:rsid w:val="00A70B7B"/>
    <w:rsid w:val="00A74750"/>
    <w:rsid w:val="00A748AD"/>
    <w:rsid w:val="00A75DE1"/>
    <w:rsid w:val="00A764E3"/>
    <w:rsid w:val="00A77837"/>
    <w:rsid w:val="00A82649"/>
    <w:rsid w:val="00A849B4"/>
    <w:rsid w:val="00A86D40"/>
    <w:rsid w:val="00A90EBE"/>
    <w:rsid w:val="00A94763"/>
    <w:rsid w:val="00A9576D"/>
    <w:rsid w:val="00A9684A"/>
    <w:rsid w:val="00A96CD5"/>
    <w:rsid w:val="00A96F02"/>
    <w:rsid w:val="00A97B31"/>
    <w:rsid w:val="00AA0F75"/>
    <w:rsid w:val="00AA130D"/>
    <w:rsid w:val="00AA16F4"/>
    <w:rsid w:val="00AA4F8B"/>
    <w:rsid w:val="00AB0835"/>
    <w:rsid w:val="00AB183D"/>
    <w:rsid w:val="00AB1A56"/>
    <w:rsid w:val="00AB239E"/>
    <w:rsid w:val="00AB2DDE"/>
    <w:rsid w:val="00AB646B"/>
    <w:rsid w:val="00AC1D17"/>
    <w:rsid w:val="00AC2D6B"/>
    <w:rsid w:val="00AC3075"/>
    <w:rsid w:val="00AC30A8"/>
    <w:rsid w:val="00AC3867"/>
    <w:rsid w:val="00AC4ACA"/>
    <w:rsid w:val="00AC5519"/>
    <w:rsid w:val="00AC6EE9"/>
    <w:rsid w:val="00AD5784"/>
    <w:rsid w:val="00AD5ED1"/>
    <w:rsid w:val="00AD6BE7"/>
    <w:rsid w:val="00AD6DA3"/>
    <w:rsid w:val="00AD70F2"/>
    <w:rsid w:val="00AD749B"/>
    <w:rsid w:val="00AD7600"/>
    <w:rsid w:val="00AD7670"/>
    <w:rsid w:val="00AD7CF8"/>
    <w:rsid w:val="00AE25BA"/>
    <w:rsid w:val="00AE35B9"/>
    <w:rsid w:val="00AE405A"/>
    <w:rsid w:val="00AF0A10"/>
    <w:rsid w:val="00AF1715"/>
    <w:rsid w:val="00AF1F28"/>
    <w:rsid w:val="00AF2792"/>
    <w:rsid w:val="00AF2951"/>
    <w:rsid w:val="00AF5024"/>
    <w:rsid w:val="00AF53B6"/>
    <w:rsid w:val="00AF6A09"/>
    <w:rsid w:val="00AF6FDB"/>
    <w:rsid w:val="00B001F8"/>
    <w:rsid w:val="00B0496A"/>
    <w:rsid w:val="00B051E0"/>
    <w:rsid w:val="00B05F6B"/>
    <w:rsid w:val="00B06539"/>
    <w:rsid w:val="00B078B2"/>
    <w:rsid w:val="00B10EAF"/>
    <w:rsid w:val="00B1273D"/>
    <w:rsid w:val="00B13F4C"/>
    <w:rsid w:val="00B1453A"/>
    <w:rsid w:val="00B14A67"/>
    <w:rsid w:val="00B158D0"/>
    <w:rsid w:val="00B15F9B"/>
    <w:rsid w:val="00B16B14"/>
    <w:rsid w:val="00B2069F"/>
    <w:rsid w:val="00B20FFB"/>
    <w:rsid w:val="00B26F9E"/>
    <w:rsid w:val="00B270CB"/>
    <w:rsid w:val="00B27A19"/>
    <w:rsid w:val="00B31369"/>
    <w:rsid w:val="00B3214D"/>
    <w:rsid w:val="00B34D2D"/>
    <w:rsid w:val="00B35D7A"/>
    <w:rsid w:val="00B36883"/>
    <w:rsid w:val="00B420AB"/>
    <w:rsid w:val="00B44F9F"/>
    <w:rsid w:val="00B45AE8"/>
    <w:rsid w:val="00B47784"/>
    <w:rsid w:val="00B52BEF"/>
    <w:rsid w:val="00B531DA"/>
    <w:rsid w:val="00B556ED"/>
    <w:rsid w:val="00B559EB"/>
    <w:rsid w:val="00B63C6A"/>
    <w:rsid w:val="00B65464"/>
    <w:rsid w:val="00B66147"/>
    <w:rsid w:val="00B70566"/>
    <w:rsid w:val="00B718F9"/>
    <w:rsid w:val="00B731D4"/>
    <w:rsid w:val="00B73B61"/>
    <w:rsid w:val="00B762F6"/>
    <w:rsid w:val="00B76404"/>
    <w:rsid w:val="00B778EA"/>
    <w:rsid w:val="00B77BFE"/>
    <w:rsid w:val="00B80E61"/>
    <w:rsid w:val="00B81984"/>
    <w:rsid w:val="00B82390"/>
    <w:rsid w:val="00B834D4"/>
    <w:rsid w:val="00B836B5"/>
    <w:rsid w:val="00B8456B"/>
    <w:rsid w:val="00B85604"/>
    <w:rsid w:val="00B859A3"/>
    <w:rsid w:val="00B90CB7"/>
    <w:rsid w:val="00B923FC"/>
    <w:rsid w:val="00B93602"/>
    <w:rsid w:val="00B93751"/>
    <w:rsid w:val="00B9500F"/>
    <w:rsid w:val="00B95824"/>
    <w:rsid w:val="00B976A6"/>
    <w:rsid w:val="00B978B1"/>
    <w:rsid w:val="00BA0029"/>
    <w:rsid w:val="00BA0CFA"/>
    <w:rsid w:val="00BA1559"/>
    <w:rsid w:val="00BA1B8E"/>
    <w:rsid w:val="00BA2036"/>
    <w:rsid w:val="00BA22DF"/>
    <w:rsid w:val="00BA3061"/>
    <w:rsid w:val="00BB017F"/>
    <w:rsid w:val="00BB1C99"/>
    <w:rsid w:val="00BB32F5"/>
    <w:rsid w:val="00BB34F8"/>
    <w:rsid w:val="00BB5228"/>
    <w:rsid w:val="00BB6C29"/>
    <w:rsid w:val="00BB6DA9"/>
    <w:rsid w:val="00BB77B9"/>
    <w:rsid w:val="00BC0781"/>
    <w:rsid w:val="00BC0C14"/>
    <w:rsid w:val="00BC1D9D"/>
    <w:rsid w:val="00BC2FA4"/>
    <w:rsid w:val="00BC38E8"/>
    <w:rsid w:val="00BC4F01"/>
    <w:rsid w:val="00BC6A98"/>
    <w:rsid w:val="00BC7C35"/>
    <w:rsid w:val="00BD05C4"/>
    <w:rsid w:val="00BD0773"/>
    <w:rsid w:val="00BD2447"/>
    <w:rsid w:val="00BD2629"/>
    <w:rsid w:val="00BD3677"/>
    <w:rsid w:val="00BD3DEF"/>
    <w:rsid w:val="00BD6657"/>
    <w:rsid w:val="00BD6AF4"/>
    <w:rsid w:val="00BD6E9F"/>
    <w:rsid w:val="00BD7431"/>
    <w:rsid w:val="00BE037F"/>
    <w:rsid w:val="00BE1884"/>
    <w:rsid w:val="00BE2094"/>
    <w:rsid w:val="00BE3656"/>
    <w:rsid w:val="00BE705C"/>
    <w:rsid w:val="00BE7619"/>
    <w:rsid w:val="00BF1E4B"/>
    <w:rsid w:val="00BF3E74"/>
    <w:rsid w:val="00BF5012"/>
    <w:rsid w:val="00BF6764"/>
    <w:rsid w:val="00BF7128"/>
    <w:rsid w:val="00BF7594"/>
    <w:rsid w:val="00C00454"/>
    <w:rsid w:val="00C02BDB"/>
    <w:rsid w:val="00C02E99"/>
    <w:rsid w:val="00C03AFE"/>
    <w:rsid w:val="00C03FD5"/>
    <w:rsid w:val="00C04F70"/>
    <w:rsid w:val="00C050CD"/>
    <w:rsid w:val="00C05860"/>
    <w:rsid w:val="00C05EFD"/>
    <w:rsid w:val="00C070F8"/>
    <w:rsid w:val="00C07B0F"/>
    <w:rsid w:val="00C124BD"/>
    <w:rsid w:val="00C140E5"/>
    <w:rsid w:val="00C14CDE"/>
    <w:rsid w:val="00C16BA5"/>
    <w:rsid w:val="00C178B5"/>
    <w:rsid w:val="00C23792"/>
    <w:rsid w:val="00C271E2"/>
    <w:rsid w:val="00C32D45"/>
    <w:rsid w:val="00C35457"/>
    <w:rsid w:val="00C355F4"/>
    <w:rsid w:val="00C35968"/>
    <w:rsid w:val="00C35F46"/>
    <w:rsid w:val="00C36399"/>
    <w:rsid w:val="00C36464"/>
    <w:rsid w:val="00C36BF9"/>
    <w:rsid w:val="00C36D59"/>
    <w:rsid w:val="00C401C2"/>
    <w:rsid w:val="00C41A19"/>
    <w:rsid w:val="00C427BE"/>
    <w:rsid w:val="00C434A2"/>
    <w:rsid w:val="00C436F8"/>
    <w:rsid w:val="00C446E6"/>
    <w:rsid w:val="00C44A26"/>
    <w:rsid w:val="00C46270"/>
    <w:rsid w:val="00C46799"/>
    <w:rsid w:val="00C47A59"/>
    <w:rsid w:val="00C50E03"/>
    <w:rsid w:val="00C53437"/>
    <w:rsid w:val="00C53E04"/>
    <w:rsid w:val="00C53FE2"/>
    <w:rsid w:val="00C55C08"/>
    <w:rsid w:val="00C566F1"/>
    <w:rsid w:val="00C57EAE"/>
    <w:rsid w:val="00C6352B"/>
    <w:rsid w:val="00C653A7"/>
    <w:rsid w:val="00C67754"/>
    <w:rsid w:val="00C6784A"/>
    <w:rsid w:val="00C7210C"/>
    <w:rsid w:val="00C7276D"/>
    <w:rsid w:val="00C72CE7"/>
    <w:rsid w:val="00C734D9"/>
    <w:rsid w:val="00C7607A"/>
    <w:rsid w:val="00C767A5"/>
    <w:rsid w:val="00C81D8C"/>
    <w:rsid w:val="00C81F08"/>
    <w:rsid w:val="00C8264E"/>
    <w:rsid w:val="00C82DB1"/>
    <w:rsid w:val="00C84301"/>
    <w:rsid w:val="00C871C2"/>
    <w:rsid w:val="00C87A3B"/>
    <w:rsid w:val="00C964F0"/>
    <w:rsid w:val="00C96AB3"/>
    <w:rsid w:val="00CA0031"/>
    <w:rsid w:val="00CA2D2E"/>
    <w:rsid w:val="00CA3D99"/>
    <w:rsid w:val="00CA4C43"/>
    <w:rsid w:val="00CA68CA"/>
    <w:rsid w:val="00CA72E1"/>
    <w:rsid w:val="00CA7FF4"/>
    <w:rsid w:val="00CB22A3"/>
    <w:rsid w:val="00CB37CE"/>
    <w:rsid w:val="00CB395D"/>
    <w:rsid w:val="00CB3D7A"/>
    <w:rsid w:val="00CB40E3"/>
    <w:rsid w:val="00CB7A15"/>
    <w:rsid w:val="00CC0982"/>
    <w:rsid w:val="00CC0EC2"/>
    <w:rsid w:val="00CC2D6C"/>
    <w:rsid w:val="00CC365C"/>
    <w:rsid w:val="00CC4998"/>
    <w:rsid w:val="00CC6D29"/>
    <w:rsid w:val="00CC7EB6"/>
    <w:rsid w:val="00CD103B"/>
    <w:rsid w:val="00CD2E6A"/>
    <w:rsid w:val="00CD3E93"/>
    <w:rsid w:val="00CD5145"/>
    <w:rsid w:val="00CE0B1D"/>
    <w:rsid w:val="00CE1A24"/>
    <w:rsid w:val="00CE4F6D"/>
    <w:rsid w:val="00CE5AFA"/>
    <w:rsid w:val="00CE5DEF"/>
    <w:rsid w:val="00CF04CF"/>
    <w:rsid w:val="00CF0803"/>
    <w:rsid w:val="00CF669E"/>
    <w:rsid w:val="00CF6757"/>
    <w:rsid w:val="00D01BA0"/>
    <w:rsid w:val="00D01BBB"/>
    <w:rsid w:val="00D020F2"/>
    <w:rsid w:val="00D039B4"/>
    <w:rsid w:val="00D05366"/>
    <w:rsid w:val="00D05B77"/>
    <w:rsid w:val="00D1198B"/>
    <w:rsid w:val="00D13AFD"/>
    <w:rsid w:val="00D13DAF"/>
    <w:rsid w:val="00D1410E"/>
    <w:rsid w:val="00D159E7"/>
    <w:rsid w:val="00D172D1"/>
    <w:rsid w:val="00D24531"/>
    <w:rsid w:val="00D2545E"/>
    <w:rsid w:val="00D25DAA"/>
    <w:rsid w:val="00D26A8B"/>
    <w:rsid w:val="00D27B91"/>
    <w:rsid w:val="00D30282"/>
    <w:rsid w:val="00D302A6"/>
    <w:rsid w:val="00D302F2"/>
    <w:rsid w:val="00D309C8"/>
    <w:rsid w:val="00D33E7E"/>
    <w:rsid w:val="00D33EDC"/>
    <w:rsid w:val="00D360C1"/>
    <w:rsid w:val="00D37E73"/>
    <w:rsid w:val="00D40A12"/>
    <w:rsid w:val="00D41038"/>
    <w:rsid w:val="00D4457B"/>
    <w:rsid w:val="00D4611F"/>
    <w:rsid w:val="00D47158"/>
    <w:rsid w:val="00D47881"/>
    <w:rsid w:val="00D47FD9"/>
    <w:rsid w:val="00D52BF8"/>
    <w:rsid w:val="00D547F8"/>
    <w:rsid w:val="00D57C35"/>
    <w:rsid w:val="00D61A43"/>
    <w:rsid w:val="00D62A68"/>
    <w:rsid w:val="00D6446B"/>
    <w:rsid w:val="00D66CF8"/>
    <w:rsid w:val="00D66F7A"/>
    <w:rsid w:val="00D70E0F"/>
    <w:rsid w:val="00D70E11"/>
    <w:rsid w:val="00D7272E"/>
    <w:rsid w:val="00D728BB"/>
    <w:rsid w:val="00D7468F"/>
    <w:rsid w:val="00D75926"/>
    <w:rsid w:val="00D769FD"/>
    <w:rsid w:val="00D76B82"/>
    <w:rsid w:val="00D80037"/>
    <w:rsid w:val="00D811D6"/>
    <w:rsid w:val="00D8142A"/>
    <w:rsid w:val="00D814CE"/>
    <w:rsid w:val="00D817B3"/>
    <w:rsid w:val="00D81E76"/>
    <w:rsid w:val="00D81E8C"/>
    <w:rsid w:val="00D82659"/>
    <w:rsid w:val="00D84433"/>
    <w:rsid w:val="00D8493C"/>
    <w:rsid w:val="00D86A6E"/>
    <w:rsid w:val="00D928EC"/>
    <w:rsid w:val="00D931F2"/>
    <w:rsid w:val="00D94E46"/>
    <w:rsid w:val="00D9653D"/>
    <w:rsid w:val="00D96A89"/>
    <w:rsid w:val="00DA0F26"/>
    <w:rsid w:val="00DA2943"/>
    <w:rsid w:val="00DA2A1E"/>
    <w:rsid w:val="00DA2DFE"/>
    <w:rsid w:val="00DA5763"/>
    <w:rsid w:val="00DA5E2D"/>
    <w:rsid w:val="00DA5FE8"/>
    <w:rsid w:val="00DA6F7B"/>
    <w:rsid w:val="00DA7917"/>
    <w:rsid w:val="00DB11AF"/>
    <w:rsid w:val="00DB184D"/>
    <w:rsid w:val="00DB36A1"/>
    <w:rsid w:val="00DB49CD"/>
    <w:rsid w:val="00DB6104"/>
    <w:rsid w:val="00DB6268"/>
    <w:rsid w:val="00DB6654"/>
    <w:rsid w:val="00DB6F22"/>
    <w:rsid w:val="00DB7900"/>
    <w:rsid w:val="00DC0A7D"/>
    <w:rsid w:val="00DC14E5"/>
    <w:rsid w:val="00DC245D"/>
    <w:rsid w:val="00DC2DE6"/>
    <w:rsid w:val="00DC33FC"/>
    <w:rsid w:val="00DC4AB9"/>
    <w:rsid w:val="00DC5136"/>
    <w:rsid w:val="00DC657D"/>
    <w:rsid w:val="00DC7319"/>
    <w:rsid w:val="00DD0170"/>
    <w:rsid w:val="00DD2954"/>
    <w:rsid w:val="00DD3076"/>
    <w:rsid w:val="00DD382A"/>
    <w:rsid w:val="00DD467C"/>
    <w:rsid w:val="00DD4B1E"/>
    <w:rsid w:val="00DD5C71"/>
    <w:rsid w:val="00DD6D63"/>
    <w:rsid w:val="00DD7B6E"/>
    <w:rsid w:val="00DE028F"/>
    <w:rsid w:val="00DE08A1"/>
    <w:rsid w:val="00DE1087"/>
    <w:rsid w:val="00DE163F"/>
    <w:rsid w:val="00DE2246"/>
    <w:rsid w:val="00DE2294"/>
    <w:rsid w:val="00DE3151"/>
    <w:rsid w:val="00DE4566"/>
    <w:rsid w:val="00DE54A4"/>
    <w:rsid w:val="00DE66A2"/>
    <w:rsid w:val="00DE70E2"/>
    <w:rsid w:val="00DE7657"/>
    <w:rsid w:val="00DE7FEC"/>
    <w:rsid w:val="00DF00B8"/>
    <w:rsid w:val="00DF0B89"/>
    <w:rsid w:val="00DF1AFF"/>
    <w:rsid w:val="00DF1B39"/>
    <w:rsid w:val="00DF271F"/>
    <w:rsid w:val="00DF309A"/>
    <w:rsid w:val="00DF4171"/>
    <w:rsid w:val="00DF4D87"/>
    <w:rsid w:val="00DF5FB2"/>
    <w:rsid w:val="00DF62F5"/>
    <w:rsid w:val="00DF6EE9"/>
    <w:rsid w:val="00DF7315"/>
    <w:rsid w:val="00DF756E"/>
    <w:rsid w:val="00E026F0"/>
    <w:rsid w:val="00E0572A"/>
    <w:rsid w:val="00E05ED8"/>
    <w:rsid w:val="00E06131"/>
    <w:rsid w:val="00E07945"/>
    <w:rsid w:val="00E11224"/>
    <w:rsid w:val="00E1170B"/>
    <w:rsid w:val="00E119F1"/>
    <w:rsid w:val="00E12239"/>
    <w:rsid w:val="00E12D2C"/>
    <w:rsid w:val="00E13687"/>
    <w:rsid w:val="00E1418B"/>
    <w:rsid w:val="00E141B8"/>
    <w:rsid w:val="00E15CB5"/>
    <w:rsid w:val="00E165C6"/>
    <w:rsid w:val="00E17486"/>
    <w:rsid w:val="00E177B5"/>
    <w:rsid w:val="00E17C3E"/>
    <w:rsid w:val="00E20F5E"/>
    <w:rsid w:val="00E225F7"/>
    <w:rsid w:val="00E23F1F"/>
    <w:rsid w:val="00E30758"/>
    <w:rsid w:val="00E30FF8"/>
    <w:rsid w:val="00E325BB"/>
    <w:rsid w:val="00E33270"/>
    <w:rsid w:val="00E34971"/>
    <w:rsid w:val="00E360E9"/>
    <w:rsid w:val="00E417EB"/>
    <w:rsid w:val="00E43536"/>
    <w:rsid w:val="00E44B79"/>
    <w:rsid w:val="00E476C8"/>
    <w:rsid w:val="00E501B3"/>
    <w:rsid w:val="00E5022F"/>
    <w:rsid w:val="00E5045B"/>
    <w:rsid w:val="00E51963"/>
    <w:rsid w:val="00E52E8E"/>
    <w:rsid w:val="00E53093"/>
    <w:rsid w:val="00E54E13"/>
    <w:rsid w:val="00E552BE"/>
    <w:rsid w:val="00E55922"/>
    <w:rsid w:val="00E57218"/>
    <w:rsid w:val="00E601F0"/>
    <w:rsid w:val="00E60EA8"/>
    <w:rsid w:val="00E6137E"/>
    <w:rsid w:val="00E614A4"/>
    <w:rsid w:val="00E61FCF"/>
    <w:rsid w:val="00E63045"/>
    <w:rsid w:val="00E63ABD"/>
    <w:rsid w:val="00E642B9"/>
    <w:rsid w:val="00E66FB5"/>
    <w:rsid w:val="00E6757C"/>
    <w:rsid w:val="00E67F1D"/>
    <w:rsid w:val="00E72D9E"/>
    <w:rsid w:val="00E740CD"/>
    <w:rsid w:val="00E74B0C"/>
    <w:rsid w:val="00E7524E"/>
    <w:rsid w:val="00E754ED"/>
    <w:rsid w:val="00E778AA"/>
    <w:rsid w:val="00E807DB"/>
    <w:rsid w:val="00E8164F"/>
    <w:rsid w:val="00E823E0"/>
    <w:rsid w:val="00E827DA"/>
    <w:rsid w:val="00E84D0C"/>
    <w:rsid w:val="00E84E72"/>
    <w:rsid w:val="00E85B2B"/>
    <w:rsid w:val="00E86110"/>
    <w:rsid w:val="00E865B5"/>
    <w:rsid w:val="00E911AD"/>
    <w:rsid w:val="00E92766"/>
    <w:rsid w:val="00E936B0"/>
    <w:rsid w:val="00E94FCF"/>
    <w:rsid w:val="00E955DC"/>
    <w:rsid w:val="00E95685"/>
    <w:rsid w:val="00E963E1"/>
    <w:rsid w:val="00E96C66"/>
    <w:rsid w:val="00E976A4"/>
    <w:rsid w:val="00EA0A86"/>
    <w:rsid w:val="00EA0B06"/>
    <w:rsid w:val="00EA7A0B"/>
    <w:rsid w:val="00EA7C78"/>
    <w:rsid w:val="00EB2918"/>
    <w:rsid w:val="00EB445D"/>
    <w:rsid w:val="00EB66C1"/>
    <w:rsid w:val="00EC0641"/>
    <w:rsid w:val="00EC0A0F"/>
    <w:rsid w:val="00EC0FBC"/>
    <w:rsid w:val="00EC1A56"/>
    <w:rsid w:val="00EC400D"/>
    <w:rsid w:val="00EC4179"/>
    <w:rsid w:val="00EC45BC"/>
    <w:rsid w:val="00EC4A74"/>
    <w:rsid w:val="00EC78AF"/>
    <w:rsid w:val="00ED1913"/>
    <w:rsid w:val="00ED2AB9"/>
    <w:rsid w:val="00ED5A71"/>
    <w:rsid w:val="00EE060B"/>
    <w:rsid w:val="00EE0C99"/>
    <w:rsid w:val="00EE40C4"/>
    <w:rsid w:val="00EE56FF"/>
    <w:rsid w:val="00EE692C"/>
    <w:rsid w:val="00EE7580"/>
    <w:rsid w:val="00EF0598"/>
    <w:rsid w:val="00EF0BB2"/>
    <w:rsid w:val="00EF0D89"/>
    <w:rsid w:val="00EF160E"/>
    <w:rsid w:val="00EF1EAE"/>
    <w:rsid w:val="00EF691F"/>
    <w:rsid w:val="00EF71D0"/>
    <w:rsid w:val="00F00CAE"/>
    <w:rsid w:val="00F03DE3"/>
    <w:rsid w:val="00F04E67"/>
    <w:rsid w:val="00F0510E"/>
    <w:rsid w:val="00F06138"/>
    <w:rsid w:val="00F07924"/>
    <w:rsid w:val="00F110AB"/>
    <w:rsid w:val="00F1268A"/>
    <w:rsid w:val="00F12C85"/>
    <w:rsid w:val="00F202B6"/>
    <w:rsid w:val="00F213EB"/>
    <w:rsid w:val="00F21868"/>
    <w:rsid w:val="00F21E7C"/>
    <w:rsid w:val="00F225FD"/>
    <w:rsid w:val="00F2271E"/>
    <w:rsid w:val="00F23D4F"/>
    <w:rsid w:val="00F23E66"/>
    <w:rsid w:val="00F24475"/>
    <w:rsid w:val="00F247FA"/>
    <w:rsid w:val="00F24CC3"/>
    <w:rsid w:val="00F30F31"/>
    <w:rsid w:val="00F32A30"/>
    <w:rsid w:val="00F33DA5"/>
    <w:rsid w:val="00F33FEB"/>
    <w:rsid w:val="00F345EE"/>
    <w:rsid w:val="00F35431"/>
    <w:rsid w:val="00F35AF2"/>
    <w:rsid w:val="00F36619"/>
    <w:rsid w:val="00F36DD3"/>
    <w:rsid w:val="00F37614"/>
    <w:rsid w:val="00F405C2"/>
    <w:rsid w:val="00F41B0F"/>
    <w:rsid w:val="00F43F95"/>
    <w:rsid w:val="00F44D8D"/>
    <w:rsid w:val="00F4540E"/>
    <w:rsid w:val="00F4560E"/>
    <w:rsid w:val="00F47366"/>
    <w:rsid w:val="00F510C7"/>
    <w:rsid w:val="00F52CC2"/>
    <w:rsid w:val="00F52CF3"/>
    <w:rsid w:val="00F535B1"/>
    <w:rsid w:val="00F54EAD"/>
    <w:rsid w:val="00F55CB1"/>
    <w:rsid w:val="00F56BB9"/>
    <w:rsid w:val="00F57B13"/>
    <w:rsid w:val="00F60F87"/>
    <w:rsid w:val="00F61A04"/>
    <w:rsid w:val="00F63858"/>
    <w:rsid w:val="00F64304"/>
    <w:rsid w:val="00F70B65"/>
    <w:rsid w:val="00F73D6F"/>
    <w:rsid w:val="00F73DD3"/>
    <w:rsid w:val="00F76097"/>
    <w:rsid w:val="00F76640"/>
    <w:rsid w:val="00F77E08"/>
    <w:rsid w:val="00F823DD"/>
    <w:rsid w:val="00F84227"/>
    <w:rsid w:val="00F855D1"/>
    <w:rsid w:val="00F85BAB"/>
    <w:rsid w:val="00F861DA"/>
    <w:rsid w:val="00F87B01"/>
    <w:rsid w:val="00F87F16"/>
    <w:rsid w:val="00F91F09"/>
    <w:rsid w:val="00F92D90"/>
    <w:rsid w:val="00F93391"/>
    <w:rsid w:val="00F939C0"/>
    <w:rsid w:val="00F93E64"/>
    <w:rsid w:val="00F94860"/>
    <w:rsid w:val="00F96E41"/>
    <w:rsid w:val="00FA0CB0"/>
    <w:rsid w:val="00FA0D80"/>
    <w:rsid w:val="00FA3622"/>
    <w:rsid w:val="00FA3E92"/>
    <w:rsid w:val="00FA5224"/>
    <w:rsid w:val="00FA58D4"/>
    <w:rsid w:val="00FA5B24"/>
    <w:rsid w:val="00FB12C3"/>
    <w:rsid w:val="00FB164B"/>
    <w:rsid w:val="00FB6318"/>
    <w:rsid w:val="00FB6AAA"/>
    <w:rsid w:val="00FB7870"/>
    <w:rsid w:val="00FC2881"/>
    <w:rsid w:val="00FC2B60"/>
    <w:rsid w:val="00FC2D98"/>
    <w:rsid w:val="00FC5172"/>
    <w:rsid w:val="00FC754F"/>
    <w:rsid w:val="00FC7646"/>
    <w:rsid w:val="00FD08E0"/>
    <w:rsid w:val="00FD316A"/>
    <w:rsid w:val="00FD68ED"/>
    <w:rsid w:val="00FD7600"/>
    <w:rsid w:val="00FE0308"/>
    <w:rsid w:val="00FE1AAF"/>
    <w:rsid w:val="00FE1E5B"/>
    <w:rsid w:val="00FE206B"/>
    <w:rsid w:val="00FE5930"/>
    <w:rsid w:val="00FE6587"/>
    <w:rsid w:val="00FF284E"/>
    <w:rsid w:val="00FF2BD1"/>
    <w:rsid w:val="00FF36C5"/>
    <w:rsid w:val="00FF5ACA"/>
    <w:rsid w:val="00FF6006"/>
    <w:rsid w:val="00FF788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8E759"/>
  <w15:chartTrackingRefBased/>
  <w15:docId w15:val="{13823C2A-DC8D-478C-B8C7-8C1AB701E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F8B"/>
  </w:style>
  <w:style w:type="paragraph" w:styleId="Heading1">
    <w:name w:val="heading 1"/>
    <w:basedOn w:val="Normal"/>
    <w:next w:val="Normal"/>
    <w:link w:val="Heading1Char"/>
    <w:uiPriority w:val="9"/>
    <w:qFormat/>
    <w:rsid w:val="00AA4F8B"/>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AA4F8B"/>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A4F8B"/>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A4F8B"/>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AA4F8B"/>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AA4F8B"/>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AA4F8B"/>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AA4F8B"/>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AA4F8B"/>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D382A"/>
    <w:rPr>
      <w:sz w:val="16"/>
      <w:szCs w:val="16"/>
    </w:rPr>
  </w:style>
  <w:style w:type="paragraph" w:styleId="CommentText">
    <w:name w:val="annotation text"/>
    <w:basedOn w:val="Normal"/>
    <w:link w:val="CommentTextChar"/>
    <w:uiPriority w:val="99"/>
    <w:unhideWhenUsed/>
    <w:rsid w:val="00DD382A"/>
    <w:pPr>
      <w:spacing w:line="240" w:lineRule="auto"/>
    </w:pPr>
    <w:rPr>
      <w:sz w:val="20"/>
      <w:szCs w:val="20"/>
    </w:rPr>
  </w:style>
  <w:style w:type="character" w:customStyle="1" w:styleId="CommentTextChar">
    <w:name w:val="Comment Text Char"/>
    <w:basedOn w:val="DefaultParagraphFont"/>
    <w:link w:val="CommentText"/>
    <w:uiPriority w:val="99"/>
    <w:rsid w:val="00DD382A"/>
    <w:rPr>
      <w:sz w:val="20"/>
      <w:szCs w:val="20"/>
    </w:rPr>
  </w:style>
  <w:style w:type="paragraph" w:styleId="CommentSubject">
    <w:name w:val="annotation subject"/>
    <w:basedOn w:val="CommentText"/>
    <w:next w:val="CommentText"/>
    <w:link w:val="CommentSubjectChar"/>
    <w:uiPriority w:val="99"/>
    <w:semiHidden/>
    <w:unhideWhenUsed/>
    <w:rsid w:val="00DD382A"/>
    <w:rPr>
      <w:b/>
      <w:bCs/>
    </w:rPr>
  </w:style>
  <w:style w:type="character" w:customStyle="1" w:styleId="CommentSubjectChar">
    <w:name w:val="Comment Subject Char"/>
    <w:basedOn w:val="CommentTextChar"/>
    <w:link w:val="CommentSubject"/>
    <w:uiPriority w:val="99"/>
    <w:semiHidden/>
    <w:rsid w:val="00DD382A"/>
    <w:rPr>
      <w:b/>
      <w:bCs/>
      <w:sz w:val="20"/>
      <w:szCs w:val="20"/>
    </w:rPr>
  </w:style>
  <w:style w:type="character" w:styleId="Hyperlink">
    <w:name w:val="Hyperlink"/>
    <w:basedOn w:val="DefaultParagraphFont"/>
    <w:uiPriority w:val="99"/>
    <w:unhideWhenUsed/>
    <w:rsid w:val="004C0A4D"/>
    <w:rPr>
      <w:color w:val="0000FF"/>
      <w:u w:val="single"/>
    </w:rPr>
  </w:style>
  <w:style w:type="paragraph" w:styleId="FootnoteText">
    <w:name w:val="footnote text"/>
    <w:basedOn w:val="Normal"/>
    <w:link w:val="FootnoteTextChar"/>
    <w:uiPriority w:val="99"/>
    <w:semiHidden/>
    <w:unhideWhenUsed/>
    <w:rsid w:val="006A78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789A"/>
    <w:rPr>
      <w:kern w:val="0"/>
      <w:sz w:val="20"/>
      <w:szCs w:val="20"/>
      <w14:ligatures w14:val="none"/>
    </w:rPr>
  </w:style>
  <w:style w:type="character" w:styleId="FootnoteReference">
    <w:name w:val="footnote reference"/>
    <w:basedOn w:val="DefaultParagraphFont"/>
    <w:uiPriority w:val="99"/>
    <w:unhideWhenUsed/>
    <w:rsid w:val="006A789A"/>
    <w:rPr>
      <w:vertAlign w:val="superscript"/>
    </w:rPr>
  </w:style>
  <w:style w:type="character" w:styleId="UnresolvedMention">
    <w:name w:val="Unresolved Mention"/>
    <w:basedOn w:val="DefaultParagraphFont"/>
    <w:uiPriority w:val="99"/>
    <w:semiHidden/>
    <w:unhideWhenUsed/>
    <w:rsid w:val="006A789A"/>
    <w:rPr>
      <w:color w:val="605E5C"/>
      <w:shd w:val="clear" w:color="auto" w:fill="E1DFDD"/>
    </w:rPr>
  </w:style>
  <w:style w:type="character" w:customStyle="1" w:styleId="Heading1Char">
    <w:name w:val="Heading 1 Char"/>
    <w:basedOn w:val="DefaultParagraphFont"/>
    <w:link w:val="Heading1"/>
    <w:uiPriority w:val="9"/>
    <w:rsid w:val="00AA4F8B"/>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rsid w:val="00AA4F8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A4F8B"/>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rsid w:val="00AA4F8B"/>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AA4F8B"/>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AA4F8B"/>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AA4F8B"/>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AA4F8B"/>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AA4F8B"/>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AA4F8B"/>
    <w:pPr>
      <w:spacing w:line="240" w:lineRule="auto"/>
    </w:pPr>
    <w:rPr>
      <w:b/>
      <w:bCs/>
      <w:smallCaps/>
      <w:color w:val="44546A" w:themeColor="text2"/>
    </w:rPr>
  </w:style>
  <w:style w:type="paragraph" w:styleId="Title">
    <w:name w:val="Title"/>
    <w:basedOn w:val="Normal"/>
    <w:next w:val="Normal"/>
    <w:link w:val="TitleChar"/>
    <w:uiPriority w:val="10"/>
    <w:qFormat/>
    <w:rsid w:val="00AA4F8B"/>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AA4F8B"/>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AA4F8B"/>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AA4F8B"/>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AA4F8B"/>
    <w:rPr>
      <w:b/>
      <w:bCs/>
    </w:rPr>
  </w:style>
  <w:style w:type="character" w:styleId="Emphasis">
    <w:name w:val="Emphasis"/>
    <w:basedOn w:val="DefaultParagraphFont"/>
    <w:uiPriority w:val="20"/>
    <w:qFormat/>
    <w:rsid w:val="00AA4F8B"/>
    <w:rPr>
      <w:i/>
      <w:iCs/>
    </w:rPr>
  </w:style>
  <w:style w:type="paragraph" w:styleId="NoSpacing">
    <w:name w:val="No Spacing"/>
    <w:uiPriority w:val="1"/>
    <w:qFormat/>
    <w:rsid w:val="00AA4F8B"/>
    <w:pPr>
      <w:spacing w:after="0" w:line="240" w:lineRule="auto"/>
    </w:pPr>
  </w:style>
  <w:style w:type="paragraph" w:styleId="Quote">
    <w:name w:val="Quote"/>
    <w:basedOn w:val="Normal"/>
    <w:next w:val="Normal"/>
    <w:link w:val="QuoteChar"/>
    <w:uiPriority w:val="29"/>
    <w:qFormat/>
    <w:rsid w:val="00AA4F8B"/>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AA4F8B"/>
    <w:rPr>
      <w:color w:val="44546A" w:themeColor="text2"/>
      <w:sz w:val="24"/>
      <w:szCs w:val="24"/>
    </w:rPr>
  </w:style>
  <w:style w:type="paragraph" w:styleId="IntenseQuote">
    <w:name w:val="Intense Quote"/>
    <w:basedOn w:val="Normal"/>
    <w:next w:val="Normal"/>
    <w:link w:val="IntenseQuoteChar"/>
    <w:uiPriority w:val="30"/>
    <w:qFormat/>
    <w:rsid w:val="00AA4F8B"/>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AA4F8B"/>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AA4F8B"/>
    <w:rPr>
      <w:i/>
      <w:iCs/>
      <w:color w:val="595959" w:themeColor="text1" w:themeTint="A6"/>
    </w:rPr>
  </w:style>
  <w:style w:type="character" w:styleId="IntenseEmphasis">
    <w:name w:val="Intense Emphasis"/>
    <w:basedOn w:val="DefaultParagraphFont"/>
    <w:uiPriority w:val="21"/>
    <w:qFormat/>
    <w:rsid w:val="00AA4F8B"/>
    <w:rPr>
      <w:b/>
      <w:bCs/>
      <w:i/>
      <w:iCs/>
    </w:rPr>
  </w:style>
  <w:style w:type="character" w:styleId="SubtleReference">
    <w:name w:val="Subtle Reference"/>
    <w:basedOn w:val="DefaultParagraphFont"/>
    <w:uiPriority w:val="31"/>
    <w:qFormat/>
    <w:rsid w:val="00AA4F8B"/>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AA4F8B"/>
    <w:rPr>
      <w:b/>
      <w:bCs/>
      <w:smallCaps/>
      <w:color w:val="44546A" w:themeColor="text2"/>
      <w:u w:val="single"/>
    </w:rPr>
  </w:style>
  <w:style w:type="character" w:styleId="BookTitle">
    <w:name w:val="Book Title"/>
    <w:basedOn w:val="DefaultParagraphFont"/>
    <w:uiPriority w:val="33"/>
    <w:qFormat/>
    <w:rsid w:val="00AA4F8B"/>
    <w:rPr>
      <w:b/>
      <w:bCs/>
      <w:smallCaps/>
      <w:spacing w:val="10"/>
    </w:rPr>
  </w:style>
  <w:style w:type="paragraph" w:styleId="TOCHeading">
    <w:name w:val="TOC Heading"/>
    <w:basedOn w:val="Heading1"/>
    <w:next w:val="Normal"/>
    <w:uiPriority w:val="39"/>
    <w:semiHidden/>
    <w:unhideWhenUsed/>
    <w:qFormat/>
    <w:rsid w:val="00AA4F8B"/>
    <w:pPr>
      <w:outlineLvl w:val="9"/>
    </w:pPr>
  </w:style>
  <w:style w:type="paragraph" w:styleId="ListParagraph">
    <w:name w:val="List Paragraph"/>
    <w:basedOn w:val="Normal"/>
    <w:uiPriority w:val="34"/>
    <w:qFormat/>
    <w:rsid w:val="00BC6A98"/>
    <w:pPr>
      <w:ind w:left="720"/>
      <w:contextualSpacing/>
    </w:pPr>
  </w:style>
  <w:style w:type="paragraph" w:styleId="Revision">
    <w:name w:val="Revision"/>
    <w:hidden/>
    <w:uiPriority w:val="99"/>
    <w:semiHidden/>
    <w:rsid w:val="00F33DA5"/>
    <w:pPr>
      <w:spacing w:after="0" w:line="240" w:lineRule="auto"/>
    </w:pPr>
  </w:style>
  <w:style w:type="paragraph" w:styleId="NormalWeb">
    <w:name w:val="Normal (Web)"/>
    <w:basedOn w:val="Normal"/>
    <w:uiPriority w:val="99"/>
    <w:semiHidden/>
    <w:unhideWhenUsed/>
    <w:rsid w:val="00DC14E5"/>
    <w:rPr>
      <w:rFonts w:ascii="Times New Roman" w:hAnsi="Times New Roman" w:cs="Times New Roman"/>
      <w:sz w:val="24"/>
      <w:szCs w:val="24"/>
    </w:rPr>
  </w:style>
  <w:style w:type="table" w:styleId="TableGrid">
    <w:name w:val="Table Grid"/>
    <w:basedOn w:val="TableNormal"/>
    <w:uiPriority w:val="39"/>
    <w:rsid w:val="007465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D62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28E"/>
  </w:style>
  <w:style w:type="paragraph" w:styleId="Footer">
    <w:name w:val="footer"/>
    <w:basedOn w:val="Normal"/>
    <w:link w:val="FooterChar"/>
    <w:uiPriority w:val="99"/>
    <w:unhideWhenUsed/>
    <w:rsid w:val="003D62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28E"/>
  </w:style>
  <w:style w:type="character" w:styleId="FollowedHyperlink">
    <w:name w:val="FollowedHyperlink"/>
    <w:basedOn w:val="DefaultParagraphFont"/>
    <w:uiPriority w:val="99"/>
    <w:semiHidden/>
    <w:unhideWhenUsed/>
    <w:rsid w:val="003D628E"/>
    <w:rPr>
      <w:color w:val="954F72" w:themeColor="followedHyperlink"/>
      <w:u w:val="single"/>
    </w:rPr>
  </w:style>
  <w:style w:type="paragraph" w:styleId="EndnoteText">
    <w:name w:val="endnote text"/>
    <w:basedOn w:val="Normal"/>
    <w:link w:val="EndnoteTextChar"/>
    <w:uiPriority w:val="99"/>
    <w:semiHidden/>
    <w:unhideWhenUsed/>
    <w:rsid w:val="00C964F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964F0"/>
    <w:rPr>
      <w:sz w:val="20"/>
      <w:szCs w:val="20"/>
    </w:rPr>
  </w:style>
  <w:style w:type="character" w:styleId="EndnoteReference">
    <w:name w:val="endnote reference"/>
    <w:basedOn w:val="DefaultParagraphFont"/>
    <w:uiPriority w:val="99"/>
    <w:semiHidden/>
    <w:unhideWhenUsed/>
    <w:rsid w:val="00C964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9164">
      <w:bodyDiv w:val="1"/>
      <w:marLeft w:val="0"/>
      <w:marRight w:val="0"/>
      <w:marTop w:val="0"/>
      <w:marBottom w:val="0"/>
      <w:divBdr>
        <w:top w:val="none" w:sz="0" w:space="0" w:color="auto"/>
        <w:left w:val="none" w:sz="0" w:space="0" w:color="auto"/>
        <w:bottom w:val="none" w:sz="0" w:space="0" w:color="auto"/>
        <w:right w:val="none" w:sz="0" w:space="0" w:color="auto"/>
      </w:divBdr>
    </w:div>
    <w:div w:id="50077772">
      <w:bodyDiv w:val="1"/>
      <w:marLeft w:val="0"/>
      <w:marRight w:val="0"/>
      <w:marTop w:val="0"/>
      <w:marBottom w:val="0"/>
      <w:divBdr>
        <w:top w:val="none" w:sz="0" w:space="0" w:color="auto"/>
        <w:left w:val="none" w:sz="0" w:space="0" w:color="auto"/>
        <w:bottom w:val="none" w:sz="0" w:space="0" w:color="auto"/>
        <w:right w:val="none" w:sz="0" w:space="0" w:color="auto"/>
      </w:divBdr>
    </w:div>
    <w:div w:id="180975418">
      <w:bodyDiv w:val="1"/>
      <w:marLeft w:val="0"/>
      <w:marRight w:val="0"/>
      <w:marTop w:val="0"/>
      <w:marBottom w:val="0"/>
      <w:divBdr>
        <w:top w:val="none" w:sz="0" w:space="0" w:color="auto"/>
        <w:left w:val="none" w:sz="0" w:space="0" w:color="auto"/>
        <w:bottom w:val="none" w:sz="0" w:space="0" w:color="auto"/>
        <w:right w:val="none" w:sz="0" w:space="0" w:color="auto"/>
      </w:divBdr>
    </w:div>
    <w:div w:id="188832610">
      <w:bodyDiv w:val="1"/>
      <w:marLeft w:val="0"/>
      <w:marRight w:val="0"/>
      <w:marTop w:val="0"/>
      <w:marBottom w:val="0"/>
      <w:divBdr>
        <w:top w:val="none" w:sz="0" w:space="0" w:color="auto"/>
        <w:left w:val="none" w:sz="0" w:space="0" w:color="auto"/>
        <w:bottom w:val="none" w:sz="0" w:space="0" w:color="auto"/>
        <w:right w:val="none" w:sz="0" w:space="0" w:color="auto"/>
      </w:divBdr>
    </w:div>
    <w:div w:id="243151447">
      <w:bodyDiv w:val="1"/>
      <w:marLeft w:val="0"/>
      <w:marRight w:val="0"/>
      <w:marTop w:val="0"/>
      <w:marBottom w:val="0"/>
      <w:divBdr>
        <w:top w:val="none" w:sz="0" w:space="0" w:color="auto"/>
        <w:left w:val="none" w:sz="0" w:space="0" w:color="auto"/>
        <w:bottom w:val="none" w:sz="0" w:space="0" w:color="auto"/>
        <w:right w:val="none" w:sz="0" w:space="0" w:color="auto"/>
      </w:divBdr>
    </w:div>
    <w:div w:id="303127675">
      <w:bodyDiv w:val="1"/>
      <w:marLeft w:val="0"/>
      <w:marRight w:val="0"/>
      <w:marTop w:val="0"/>
      <w:marBottom w:val="0"/>
      <w:divBdr>
        <w:top w:val="none" w:sz="0" w:space="0" w:color="auto"/>
        <w:left w:val="none" w:sz="0" w:space="0" w:color="auto"/>
        <w:bottom w:val="none" w:sz="0" w:space="0" w:color="auto"/>
        <w:right w:val="none" w:sz="0" w:space="0" w:color="auto"/>
      </w:divBdr>
    </w:div>
    <w:div w:id="369694393">
      <w:bodyDiv w:val="1"/>
      <w:marLeft w:val="0"/>
      <w:marRight w:val="0"/>
      <w:marTop w:val="0"/>
      <w:marBottom w:val="0"/>
      <w:divBdr>
        <w:top w:val="none" w:sz="0" w:space="0" w:color="auto"/>
        <w:left w:val="none" w:sz="0" w:space="0" w:color="auto"/>
        <w:bottom w:val="none" w:sz="0" w:space="0" w:color="auto"/>
        <w:right w:val="none" w:sz="0" w:space="0" w:color="auto"/>
      </w:divBdr>
    </w:div>
    <w:div w:id="403070285">
      <w:bodyDiv w:val="1"/>
      <w:marLeft w:val="0"/>
      <w:marRight w:val="0"/>
      <w:marTop w:val="0"/>
      <w:marBottom w:val="0"/>
      <w:divBdr>
        <w:top w:val="none" w:sz="0" w:space="0" w:color="auto"/>
        <w:left w:val="none" w:sz="0" w:space="0" w:color="auto"/>
        <w:bottom w:val="none" w:sz="0" w:space="0" w:color="auto"/>
        <w:right w:val="none" w:sz="0" w:space="0" w:color="auto"/>
      </w:divBdr>
    </w:div>
    <w:div w:id="484056702">
      <w:bodyDiv w:val="1"/>
      <w:marLeft w:val="0"/>
      <w:marRight w:val="0"/>
      <w:marTop w:val="0"/>
      <w:marBottom w:val="0"/>
      <w:divBdr>
        <w:top w:val="none" w:sz="0" w:space="0" w:color="auto"/>
        <w:left w:val="none" w:sz="0" w:space="0" w:color="auto"/>
        <w:bottom w:val="none" w:sz="0" w:space="0" w:color="auto"/>
        <w:right w:val="none" w:sz="0" w:space="0" w:color="auto"/>
      </w:divBdr>
    </w:div>
    <w:div w:id="502472122">
      <w:bodyDiv w:val="1"/>
      <w:marLeft w:val="0"/>
      <w:marRight w:val="0"/>
      <w:marTop w:val="0"/>
      <w:marBottom w:val="0"/>
      <w:divBdr>
        <w:top w:val="none" w:sz="0" w:space="0" w:color="auto"/>
        <w:left w:val="none" w:sz="0" w:space="0" w:color="auto"/>
        <w:bottom w:val="none" w:sz="0" w:space="0" w:color="auto"/>
        <w:right w:val="none" w:sz="0" w:space="0" w:color="auto"/>
      </w:divBdr>
    </w:div>
    <w:div w:id="578557480">
      <w:bodyDiv w:val="1"/>
      <w:marLeft w:val="0"/>
      <w:marRight w:val="0"/>
      <w:marTop w:val="0"/>
      <w:marBottom w:val="0"/>
      <w:divBdr>
        <w:top w:val="none" w:sz="0" w:space="0" w:color="auto"/>
        <w:left w:val="none" w:sz="0" w:space="0" w:color="auto"/>
        <w:bottom w:val="none" w:sz="0" w:space="0" w:color="auto"/>
        <w:right w:val="none" w:sz="0" w:space="0" w:color="auto"/>
      </w:divBdr>
    </w:div>
    <w:div w:id="743184218">
      <w:bodyDiv w:val="1"/>
      <w:marLeft w:val="0"/>
      <w:marRight w:val="0"/>
      <w:marTop w:val="0"/>
      <w:marBottom w:val="0"/>
      <w:divBdr>
        <w:top w:val="none" w:sz="0" w:space="0" w:color="auto"/>
        <w:left w:val="none" w:sz="0" w:space="0" w:color="auto"/>
        <w:bottom w:val="none" w:sz="0" w:space="0" w:color="auto"/>
        <w:right w:val="none" w:sz="0" w:space="0" w:color="auto"/>
      </w:divBdr>
    </w:div>
    <w:div w:id="883836703">
      <w:bodyDiv w:val="1"/>
      <w:marLeft w:val="0"/>
      <w:marRight w:val="0"/>
      <w:marTop w:val="0"/>
      <w:marBottom w:val="0"/>
      <w:divBdr>
        <w:top w:val="none" w:sz="0" w:space="0" w:color="auto"/>
        <w:left w:val="none" w:sz="0" w:space="0" w:color="auto"/>
        <w:bottom w:val="none" w:sz="0" w:space="0" w:color="auto"/>
        <w:right w:val="none" w:sz="0" w:space="0" w:color="auto"/>
      </w:divBdr>
    </w:div>
    <w:div w:id="937178041">
      <w:bodyDiv w:val="1"/>
      <w:marLeft w:val="0"/>
      <w:marRight w:val="0"/>
      <w:marTop w:val="0"/>
      <w:marBottom w:val="0"/>
      <w:divBdr>
        <w:top w:val="none" w:sz="0" w:space="0" w:color="auto"/>
        <w:left w:val="none" w:sz="0" w:space="0" w:color="auto"/>
        <w:bottom w:val="none" w:sz="0" w:space="0" w:color="auto"/>
        <w:right w:val="none" w:sz="0" w:space="0" w:color="auto"/>
      </w:divBdr>
    </w:div>
    <w:div w:id="1188522811">
      <w:bodyDiv w:val="1"/>
      <w:marLeft w:val="0"/>
      <w:marRight w:val="0"/>
      <w:marTop w:val="0"/>
      <w:marBottom w:val="0"/>
      <w:divBdr>
        <w:top w:val="none" w:sz="0" w:space="0" w:color="auto"/>
        <w:left w:val="none" w:sz="0" w:space="0" w:color="auto"/>
        <w:bottom w:val="none" w:sz="0" w:space="0" w:color="auto"/>
        <w:right w:val="none" w:sz="0" w:space="0" w:color="auto"/>
      </w:divBdr>
    </w:div>
    <w:div w:id="1243103012">
      <w:bodyDiv w:val="1"/>
      <w:marLeft w:val="0"/>
      <w:marRight w:val="0"/>
      <w:marTop w:val="0"/>
      <w:marBottom w:val="0"/>
      <w:divBdr>
        <w:top w:val="none" w:sz="0" w:space="0" w:color="auto"/>
        <w:left w:val="none" w:sz="0" w:space="0" w:color="auto"/>
        <w:bottom w:val="none" w:sz="0" w:space="0" w:color="auto"/>
        <w:right w:val="none" w:sz="0" w:space="0" w:color="auto"/>
      </w:divBdr>
    </w:div>
    <w:div w:id="1293974294">
      <w:bodyDiv w:val="1"/>
      <w:marLeft w:val="0"/>
      <w:marRight w:val="0"/>
      <w:marTop w:val="0"/>
      <w:marBottom w:val="0"/>
      <w:divBdr>
        <w:top w:val="none" w:sz="0" w:space="0" w:color="auto"/>
        <w:left w:val="none" w:sz="0" w:space="0" w:color="auto"/>
        <w:bottom w:val="none" w:sz="0" w:space="0" w:color="auto"/>
        <w:right w:val="none" w:sz="0" w:space="0" w:color="auto"/>
      </w:divBdr>
    </w:div>
    <w:div w:id="1304239892">
      <w:bodyDiv w:val="1"/>
      <w:marLeft w:val="0"/>
      <w:marRight w:val="0"/>
      <w:marTop w:val="0"/>
      <w:marBottom w:val="0"/>
      <w:divBdr>
        <w:top w:val="none" w:sz="0" w:space="0" w:color="auto"/>
        <w:left w:val="none" w:sz="0" w:space="0" w:color="auto"/>
        <w:bottom w:val="none" w:sz="0" w:space="0" w:color="auto"/>
        <w:right w:val="none" w:sz="0" w:space="0" w:color="auto"/>
      </w:divBdr>
    </w:div>
    <w:div w:id="1378819348">
      <w:bodyDiv w:val="1"/>
      <w:marLeft w:val="0"/>
      <w:marRight w:val="0"/>
      <w:marTop w:val="0"/>
      <w:marBottom w:val="0"/>
      <w:divBdr>
        <w:top w:val="none" w:sz="0" w:space="0" w:color="auto"/>
        <w:left w:val="none" w:sz="0" w:space="0" w:color="auto"/>
        <w:bottom w:val="none" w:sz="0" w:space="0" w:color="auto"/>
        <w:right w:val="none" w:sz="0" w:space="0" w:color="auto"/>
      </w:divBdr>
    </w:div>
    <w:div w:id="1457799432">
      <w:bodyDiv w:val="1"/>
      <w:marLeft w:val="0"/>
      <w:marRight w:val="0"/>
      <w:marTop w:val="0"/>
      <w:marBottom w:val="0"/>
      <w:divBdr>
        <w:top w:val="none" w:sz="0" w:space="0" w:color="auto"/>
        <w:left w:val="none" w:sz="0" w:space="0" w:color="auto"/>
        <w:bottom w:val="none" w:sz="0" w:space="0" w:color="auto"/>
        <w:right w:val="none" w:sz="0" w:space="0" w:color="auto"/>
      </w:divBdr>
    </w:div>
    <w:div w:id="1467973234">
      <w:bodyDiv w:val="1"/>
      <w:marLeft w:val="0"/>
      <w:marRight w:val="0"/>
      <w:marTop w:val="0"/>
      <w:marBottom w:val="0"/>
      <w:divBdr>
        <w:top w:val="none" w:sz="0" w:space="0" w:color="auto"/>
        <w:left w:val="none" w:sz="0" w:space="0" w:color="auto"/>
        <w:bottom w:val="none" w:sz="0" w:space="0" w:color="auto"/>
        <w:right w:val="none" w:sz="0" w:space="0" w:color="auto"/>
      </w:divBdr>
    </w:div>
    <w:div w:id="1579054338">
      <w:bodyDiv w:val="1"/>
      <w:marLeft w:val="0"/>
      <w:marRight w:val="0"/>
      <w:marTop w:val="0"/>
      <w:marBottom w:val="0"/>
      <w:divBdr>
        <w:top w:val="none" w:sz="0" w:space="0" w:color="auto"/>
        <w:left w:val="none" w:sz="0" w:space="0" w:color="auto"/>
        <w:bottom w:val="none" w:sz="0" w:space="0" w:color="auto"/>
        <w:right w:val="none" w:sz="0" w:space="0" w:color="auto"/>
      </w:divBdr>
    </w:div>
    <w:div w:id="1676877219">
      <w:bodyDiv w:val="1"/>
      <w:marLeft w:val="0"/>
      <w:marRight w:val="0"/>
      <w:marTop w:val="0"/>
      <w:marBottom w:val="0"/>
      <w:divBdr>
        <w:top w:val="none" w:sz="0" w:space="0" w:color="auto"/>
        <w:left w:val="none" w:sz="0" w:space="0" w:color="auto"/>
        <w:bottom w:val="none" w:sz="0" w:space="0" w:color="auto"/>
        <w:right w:val="none" w:sz="0" w:space="0" w:color="auto"/>
      </w:divBdr>
    </w:div>
    <w:div w:id="1690720923">
      <w:bodyDiv w:val="1"/>
      <w:marLeft w:val="0"/>
      <w:marRight w:val="0"/>
      <w:marTop w:val="0"/>
      <w:marBottom w:val="0"/>
      <w:divBdr>
        <w:top w:val="none" w:sz="0" w:space="0" w:color="auto"/>
        <w:left w:val="none" w:sz="0" w:space="0" w:color="auto"/>
        <w:bottom w:val="none" w:sz="0" w:space="0" w:color="auto"/>
        <w:right w:val="none" w:sz="0" w:space="0" w:color="auto"/>
      </w:divBdr>
    </w:div>
    <w:div w:id="1706639672">
      <w:bodyDiv w:val="1"/>
      <w:marLeft w:val="0"/>
      <w:marRight w:val="0"/>
      <w:marTop w:val="0"/>
      <w:marBottom w:val="0"/>
      <w:divBdr>
        <w:top w:val="none" w:sz="0" w:space="0" w:color="auto"/>
        <w:left w:val="none" w:sz="0" w:space="0" w:color="auto"/>
        <w:bottom w:val="none" w:sz="0" w:space="0" w:color="auto"/>
        <w:right w:val="none" w:sz="0" w:space="0" w:color="auto"/>
      </w:divBdr>
    </w:div>
    <w:div w:id="1716196208">
      <w:bodyDiv w:val="1"/>
      <w:marLeft w:val="0"/>
      <w:marRight w:val="0"/>
      <w:marTop w:val="0"/>
      <w:marBottom w:val="0"/>
      <w:divBdr>
        <w:top w:val="none" w:sz="0" w:space="0" w:color="auto"/>
        <w:left w:val="none" w:sz="0" w:space="0" w:color="auto"/>
        <w:bottom w:val="none" w:sz="0" w:space="0" w:color="auto"/>
        <w:right w:val="none" w:sz="0" w:space="0" w:color="auto"/>
      </w:divBdr>
    </w:div>
    <w:div w:id="1853520839">
      <w:bodyDiv w:val="1"/>
      <w:marLeft w:val="0"/>
      <w:marRight w:val="0"/>
      <w:marTop w:val="0"/>
      <w:marBottom w:val="0"/>
      <w:divBdr>
        <w:top w:val="none" w:sz="0" w:space="0" w:color="auto"/>
        <w:left w:val="none" w:sz="0" w:space="0" w:color="auto"/>
        <w:bottom w:val="none" w:sz="0" w:space="0" w:color="auto"/>
        <w:right w:val="none" w:sz="0" w:space="0" w:color="auto"/>
      </w:divBdr>
    </w:div>
    <w:div w:id="1928004307">
      <w:bodyDiv w:val="1"/>
      <w:marLeft w:val="0"/>
      <w:marRight w:val="0"/>
      <w:marTop w:val="0"/>
      <w:marBottom w:val="0"/>
      <w:divBdr>
        <w:top w:val="none" w:sz="0" w:space="0" w:color="auto"/>
        <w:left w:val="none" w:sz="0" w:space="0" w:color="auto"/>
        <w:bottom w:val="none" w:sz="0" w:space="0" w:color="auto"/>
        <w:right w:val="none" w:sz="0" w:space="0" w:color="auto"/>
      </w:divBdr>
    </w:div>
    <w:div w:id="2035378581">
      <w:bodyDiv w:val="1"/>
      <w:marLeft w:val="0"/>
      <w:marRight w:val="0"/>
      <w:marTop w:val="0"/>
      <w:marBottom w:val="0"/>
      <w:divBdr>
        <w:top w:val="none" w:sz="0" w:space="0" w:color="auto"/>
        <w:left w:val="none" w:sz="0" w:space="0" w:color="auto"/>
        <w:bottom w:val="none" w:sz="0" w:space="0" w:color="auto"/>
        <w:right w:val="none" w:sz="0" w:space="0" w:color="auto"/>
      </w:divBdr>
    </w:div>
    <w:div w:id="210267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www150.statcan.gc.ca/t1/tbl1/en/tv.action?pid=1010001701" TargetMode="External"/><Relationship Id="rId18" Type="http://schemas.openxmlformats.org/officeDocument/2006/relationships/hyperlink" Target="https://www150.statcan.gc.ca/t1/tbl1/en/tv.action?pid=3810000601" TargetMode="External"/><Relationship Id="rId26" Type="http://schemas.openxmlformats.org/officeDocument/2006/relationships/hyperlink" Target="https://open.alberta.ca/opendata/alberta-oil-sands-royalty-data1" TargetMode="External"/><Relationship Id="rId3" Type="http://schemas.openxmlformats.org/officeDocument/2006/relationships/styles" Target="styles.xml"/><Relationship Id="rId21" Type="http://schemas.openxmlformats.org/officeDocument/2006/relationships/hyperlink" Target="https://www150.statcan.gc.ca/t1/tbl1/en/tv.action?pid=3810000601" TargetMode="External"/><Relationship Id="rId7" Type="http://schemas.openxmlformats.org/officeDocument/2006/relationships/endnotes" Target="endnotes.xml"/><Relationship Id="rId12" Type="http://schemas.openxmlformats.org/officeDocument/2006/relationships/hyperlink" Target="https://www150.statcan.gc.ca/t1/tbl1/en/tv.action?pid=1010001601" TargetMode="External"/><Relationship Id="rId17" Type="http://schemas.openxmlformats.org/officeDocument/2006/relationships/hyperlink" Target="https://www150.statcan.gc.ca/t1/tbl1/en/tv.action?pid=1010001701" TargetMode="External"/><Relationship Id="rId25" Type="http://schemas.openxmlformats.org/officeDocument/2006/relationships/hyperlink" Target="https://open.alberta.ca/opendata/alberta-oil-sands-royalty-data1" TargetMode="External"/><Relationship Id="rId2" Type="http://schemas.openxmlformats.org/officeDocument/2006/relationships/numbering" Target="numbering.xml"/><Relationship Id="rId16" Type="http://schemas.openxmlformats.org/officeDocument/2006/relationships/hyperlink" Target="https://www150.statcan.gc.ca/t1/tbl1/en/tv.action?pid=3810000601" TargetMode="External"/><Relationship Id="rId20" Type="http://schemas.openxmlformats.org/officeDocument/2006/relationships/hyperlink" Target="https://www150.statcan.gc.ca/t1/tbl1/en/tv.action?pid=1010001701" TargetMode="External"/><Relationship Id="rId29" Type="http://schemas.openxmlformats.org/officeDocument/2006/relationships/hyperlink" Target="https://www.oecd.org/en/publications/measuring-natural-resources-in-the-national-accounts_420c7c2a-en/full-report/valuation-of-natural-resources_ba221f3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150.statcan.gc.ca/t1/tbl1/en/tv.action?pid=1010001701" TargetMode="External"/><Relationship Id="rId24" Type="http://schemas.openxmlformats.org/officeDocument/2006/relationships/hyperlink" Target="https://open.alberta.ca/opendata/alberta-oil-sands-royalty-data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150.statcan.gc.ca/t1/tbl1/en/tv.action?pid=3810000601" TargetMode="External"/><Relationship Id="rId23" Type="http://schemas.openxmlformats.org/officeDocument/2006/relationships/hyperlink" Target="https://open.alberta.ca/opendata/historical-royalty-revenue" TargetMode="External"/><Relationship Id="rId28" Type="http://schemas.openxmlformats.org/officeDocument/2006/relationships/hyperlink" Target="https://www150.statcan.gc.ca/n1/pub/13-605-x/2025001/article/00005-eng.htm" TargetMode="External"/><Relationship Id="rId10" Type="http://schemas.openxmlformats.org/officeDocument/2006/relationships/hyperlink" Target="https://www150.statcan.gc.ca/t1/tbl1/en/tv.action?pid=3810000601" TargetMode="External"/><Relationship Id="rId19" Type="http://schemas.openxmlformats.org/officeDocument/2006/relationships/hyperlink" Target="https://www150.statcan.gc.ca/t1/tbl1/en/tv.action?pid=38100006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150.statcan.gc.ca/t1/tbl1/en/tv.action?pid=3810000601" TargetMode="External"/><Relationship Id="rId14" Type="http://schemas.openxmlformats.org/officeDocument/2006/relationships/hyperlink" Target="https://www150.statcan.gc.ca/t1/tbl1/en/tv.action?pid=1010001701" TargetMode="External"/><Relationship Id="rId22" Type="http://schemas.openxmlformats.org/officeDocument/2006/relationships/hyperlink" Target="https://www150.statcan.gc.ca/t1/tbl1/en/tv.action?pid=3810000601" TargetMode="External"/><Relationship Id="rId27" Type="http://schemas.openxmlformats.org/officeDocument/2006/relationships/hyperlink" Target="https://open.alberta.ca/opendata/historical-royalty-revenue" TargetMode="External"/><Relationship Id="rId30" Type="http://schemas.openxmlformats.org/officeDocument/2006/relationships/image" Target="media/image1.png"/></Relationships>
</file>

<file path=word/_rels/footnotes.xml.rels><?xml version="1.0" encoding="UTF-8" standalone="yes"?>
<Relationships xmlns="http://schemas.openxmlformats.org/package/2006/relationships"><Relationship Id="rId8" Type="http://schemas.openxmlformats.org/officeDocument/2006/relationships/hyperlink" Target="https://www150.statcan.gc.ca/t1/tbl1/en/cv.action?pid=3610058001" TargetMode="External"/><Relationship Id="rId13" Type="http://schemas.openxmlformats.org/officeDocument/2006/relationships/hyperlink" Target="https://www.gov.nu.ca/sites/default/files/documents/2024-02/Nunavut%20Lands%20and%20Resources%20Devolution%20Agreement%20-%20ENG.pdf" TargetMode="External"/><Relationship Id="rId18" Type="http://schemas.openxmlformats.org/officeDocument/2006/relationships/hyperlink" Target="https://www.alberta.ca/freehold-mineral-tax" TargetMode="External"/><Relationship Id="rId3" Type="http://schemas.openxmlformats.org/officeDocument/2006/relationships/hyperlink" Target="https://www.oecd.org/en/publications/measuring-natural-resources-in-the-national-accounts_420c7c2a-en.html" TargetMode="External"/><Relationship Id="rId7" Type="http://schemas.openxmlformats.org/officeDocument/2006/relationships/hyperlink" Target="https://www150.statcan.gc.ca/n1/pub/71-607-x/71-607-x2022008-eng.htm" TargetMode="External"/><Relationship Id="rId12" Type="http://schemas.openxmlformats.org/officeDocument/2006/relationships/hyperlink" Target="file:///\\fld5filer\environment\statistical_processing\Env_Program\NRAA\Research\SNA_SEEA%20funding_2021_2022\1.Resource%20Royalties\01_Source_Data\Minerals\Potash\saskatchewans-potash-royalty-and-mining-tax-regime.pdf" TargetMode="External"/><Relationship Id="rId17" Type="http://schemas.openxmlformats.org/officeDocument/2006/relationships/hyperlink" Target="https://open.alberta.ca/publications/mineral-ownership-in-alberta" TargetMode="External"/><Relationship Id="rId2" Type="http://schemas.openxmlformats.org/officeDocument/2006/relationships/hyperlink" Target="https://unstats.un.org/unsd/nationalaccount/SNAUpdate/2025/2025_SNA_Combined.pdf" TargetMode="External"/><Relationship Id="rId16" Type="http://schemas.openxmlformats.org/officeDocument/2006/relationships/hyperlink" Target="https://open.alberta.ca/opendata/historical-royalty-revenue" TargetMode="External"/><Relationship Id="rId1" Type="http://schemas.openxmlformats.org/officeDocument/2006/relationships/hyperlink" Target="https://unstats.un.org/unsd/nationalaccount/sna2025.asp" TargetMode="External"/><Relationship Id="rId6" Type="http://schemas.openxmlformats.org/officeDocument/2006/relationships/hyperlink" Target="https://www.capp.ca/en/oil-natural-gas-you/oil-natural-gas-canada/mineral-rights/" TargetMode="External"/><Relationship Id="rId11" Type="http://schemas.openxmlformats.org/officeDocument/2006/relationships/hyperlink" Target="https://www150.statcan.gc.ca/t1/tbl1/en/tv.action?pid=3810000601" TargetMode="External"/><Relationship Id="rId5" Type="http://schemas.openxmlformats.org/officeDocument/2006/relationships/hyperlink" Target="https://www.canada.ca/en/revenue-agency/services/forms-publications/publications/b-073/sale-freehold-mineral-titles.html" TargetMode="External"/><Relationship Id="rId15" Type="http://schemas.openxmlformats.org/officeDocument/2006/relationships/hyperlink" Target="file:///\\fld5filer\environment\statistical_processing\Env_Program\NRAA\Research\SNA_SEEA%20funding_2021_2022\1.Resource%20Royalties\01_Source_Data\Crude%20Bitumen\AB%20-%20Oil%20Sands%20Royalty%20guidelines2018.pdf" TargetMode="External"/><Relationship Id="rId10" Type="http://schemas.openxmlformats.org/officeDocument/2006/relationships/hyperlink" Target="https://www150.statcan.gc.ca/t1/tbl1/en/tv.action?pid=1010001601" TargetMode="External"/><Relationship Id="rId4" Type="http://schemas.openxmlformats.org/officeDocument/2006/relationships/hyperlink" Target="https://www23.statcan.gc.ca/imdb/p2SV.pl?Function=getSurvey&amp;SDDS=5174" TargetMode="External"/><Relationship Id="rId9" Type="http://schemas.openxmlformats.org/officeDocument/2006/relationships/hyperlink" Target="https://www150.statcan.gc.ca/t1/tbl1/en/tv.action?pid=1010001701" TargetMode="External"/><Relationship Id="rId14" Type="http://schemas.openxmlformats.org/officeDocument/2006/relationships/hyperlink" Target="https://web2.gov.mb.ca/laws/statutes/ccsm/m195.php"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fld5filer\environment\statistical_processing\Env_Program\NRAA\Research\SNA_SEEA%20projects\1.Resource%20Royalties\03_Dissemination\London%20Group%202026%20paper\3810000601-intro%20char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'3810000601-noSymbol (53)'!$E$10:$E$11</c:f>
              <c:strCache>
                <c:ptCount val="2"/>
                <c:pt idx="0">
                  <c:v>Closing stock present value 3</c:v>
                </c:pt>
                <c:pt idx="1">
                  <c:v>2023</c:v>
                </c:pt>
              </c:strCache>
            </c:strRef>
          </c:tx>
          <c:spPr>
            <a:solidFill>
              <a:schemeClr val="accent1"/>
            </a:solidFill>
            <a:ln>
              <a:noFill/>
            </a:ln>
            <a:effectLst/>
          </c:spPr>
          <c:invertIfNegative val="0"/>
          <c:cat>
            <c:strRef>
              <c:f>'3810000601-noSymbol (53)'!$I$13:$I$20</c:f>
              <c:strCache>
                <c:ptCount val="8"/>
                <c:pt idx="0">
                  <c:v>Proven and probable reserves of miscellaneous minerals </c:v>
                </c:pt>
                <c:pt idx="1">
                  <c:v>Proven and probable iron reserves</c:v>
                </c:pt>
                <c:pt idx="2">
                  <c:v>Proven and probable gold reserves from gold mines</c:v>
                </c:pt>
                <c:pt idx="3">
                  <c:v>Established crude oil and natural gas reserves </c:v>
                </c:pt>
                <c:pt idx="4">
                  <c:v>Recoverable bituminous coal reserves</c:v>
                </c:pt>
                <c:pt idx="5">
                  <c:v>Proven and probable potash reserves</c:v>
                </c:pt>
                <c:pt idx="6">
                  <c:v>Timber stocks, method I </c:v>
                </c:pt>
                <c:pt idx="7">
                  <c:v>Established crude bitumen reserves</c:v>
                </c:pt>
              </c:strCache>
              <c:extLst/>
            </c:strRef>
          </c:cat>
          <c:val>
            <c:numRef>
              <c:f>'3810000601-noSymbol (53)'!$H$13:$H$20</c:f>
              <c:numCache>
                <c:formatCode>General</c:formatCode>
                <c:ptCount val="8"/>
                <c:pt idx="0">
                  <c:v>59.881399999999999</c:v>
                </c:pt>
                <c:pt idx="1">
                  <c:v>81.421800000000005</c:v>
                </c:pt>
                <c:pt idx="2">
                  <c:v>97.101799999999997</c:v>
                </c:pt>
                <c:pt idx="3">
                  <c:v>102.4111</c:v>
                </c:pt>
                <c:pt idx="4">
                  <c:v>108.99889999999999</c:v>
                </c:pt>
                <c:pt idx="5">
                  <c:v>144.36170000000001</c:v>
                </c:pt>
                <c:pt idx="6">
                  <c:v>145.51009999999999</c:v>
                </c:pt>
                <c:pt idx="7">
                  <c:v>621.91399999999999</c:v>
                </c:pt>
              </c:numCache>
              <c:extLst/>
            </c:numRef>
          </c:val>
          <c:extLst>
            <c:ext xmlns:c16="http://schemas.microsoft.com/office/drawing/2014/chart" uri="{C3380CC4-5D6E-409C-BE32-E72D297353CC}">
              <c16:uniqueId val="{00000000-F434-41F4-AC1C-DA6BD8718C5B}"/>
            </c:ext>
          </c:extLst>
        </c:ser>
        <c:dLbls>
          <c:showLegendKey val="0"/>
          <c:showVal val="0"/>
          <c:showCatName val="0"/>
          <c:showSerName val="0"/>
          <c:showPercent val="0"/>
          <c:showBubbleSize val="0"/>
        </c:dLbls>
        <c:gapWidth val="182"/>
        <c:axId val="1412192480"/>
        <c:axId val="1412185760"/>
      </c:barChart>
      <c:catAx>
        <c:axId val="141219248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12185760"/>
        <c:crosses val="autoZero"/>
        <c:auto val="1"/>
        <c:lblAlgn val="ctr"/>
        <c:lblOffset val="100"/>
        <c:noMultiLvlLbl val="0"/>
      </c:catAx>
      <c:valAx>
        <c:axId val="14121857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aseline="0"/>
                  <a:t>billions of Canadian dollars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1219248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C00CE-A14E-45BE-B690-7BC55A60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25</Pages>
  <Words>8912</Words>
  <Characters>50803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Loker-Fulcher, Carin (StatCan)</dc:creator>
  <cp:keywords/>
  <dc:description/>
  <cp:lastModifiedBy>Loker-Fulcher, Carin (she | elle) (StatCan)</cp:lastModifiedBy>
  <cp:revision>24</cp:revision>
  <dcterms:created xsi:type="dcterms:W3CDTF">2026-07-21T16:00:00Z</dcterms:created>
  <dcterms:modified xsi:type="dcterms:W3CDTF">2026-08-13T13:25:00Z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b9758d-3423-4996-986f-7b0f2fc774ee_Enabled">
    <vt:lpwstr>true</vt:lpwstr>
  </property>
  <property fmtid="{D5CDD505-2E9C-101B-9397-08002B2CF9AE}" pid="3" name="MSIP_Label_d0b9758d-3423-4996-986f-7b0f2fc774ee_SetDate">
    <vt:lpwstr>2026-03-13T17:15:45Z</vt:lpwstr>
  </property>
  <property fmtid="{D5CDD505-2E9C-101B-9397-08002B2CF9AE}" pid="4" name="MSIP_Label_d0b9758d-3423-4996-986f-7b0f2fc774ee_Method">
    <vt:lpwstr>Standard</vt:lpwstr>
  </property>
  <property fmtid="{D5CDD505-2E9C-101B-9397-08002B2CF9AE}" pid="5" name="MSIP_Label_d0b9758d-3423-4996-986f-7b0f2fc774ee_Name">
    <vt:lpwstr>UNCLASSIFIED</vt:lpwstr>
  </property>
  <property fmtid="{D5CDD505-2E9C-101B-9397-08002B2CF9AE}" pid="6" name="MSIP_Label_d0b9758d-3423-4996-986f-7b0f2fc774ee_SiteId">
    <vt:lpwstr>258f1f99-ee3d-42c7-bfc5-7af1b2343e02</vt:lpwstr>
  </property>
  <property fmtid="{D5CDD505-2E9C-101B-9397-08002B2CF9AE}" pid="7" name="MSIP_Label_d0b9758d-3423-4996-986f-7b0f2fc774ee_ActionId">
    <vt:lpwstr>87e99ef8-6a5c-4358-ba3a-9e76cd33dc23</vt:lpwstr>
  </property>
  <property fmtid="{D5CDD505-2E9C-101B-9397-08002B2CF9AE}" pid="8" name="MSIP_Label_d0b9758d-3423-4996-986f-7b0f2fc774ee_ContentBits">
    <vt:lpwstr>0</vt:lpwstr>
  </property>
  <property fmtid="{D5CDD505-2E9C-101B-9397-08002B2CF9AE}" pid="9" name="MSIP_Label_d0b9758d-3423-4996-986f-7b0f2fc774ee_Tag">
    <vt:lpwstr>10, 3, 0, 1</vt:lpwstr>
  </property>
</Properties>
</file>